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E30C">
      <w:pPr>
        <w:ind w:firstLine="480"/>
        <w:jc w:val="center"/>
        <w:rPr>
          <w:rFonts w:hint="eastAsia" w:ascii="华文中宋" w:hAnsi="华文中宋" w:eastAsia="华文中宋" w:cs="华文中宋"/>
        </w:rPr>
      </w:pPr>
      <w:r>
        <w:rPr>
          <w:rFonts w:hint="eastAsia" w:ascii="华文中宋" w:hAnsi="华文中宋" w:eastAsia="华文中宋" w:cs="华文中宋"/>
        </w:rPr>
        <w:t>《化妆品用原料 龙胆提取物》编制说明</w:t>
      </w:r>
    </w:p>
    <w:p w14:paraId="6DCB2CDB">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一、标准起草的基本情况（包括简要的起草过程、主要起草单位、起草人等）</w:t>
      </w:r>
    </w:p>
    <w:p w14:paraId="2684C42C">
      <w:pPr>
        <w:pStyle w:val="4"/>
        <w:rPr>
          <w:rFonts w:hint="eastAsia" w:ascii="华文中宋" w:hAnsi="华文中宋" w:eastAsia="华文中宋" w:cs="华文中宋"/>
        </w:rPr>
      </w:pPr>
      <w:r>
        <w:rPr>
          <w:rFonts w:hint="eastAsia" w:ascii="华文中宋" w:hAnsi="华文中宋" w:eastAsia="华文中宋" w:cs="华文中宋"/>
        </w:rPr>
        <w:t>1. 任务来源</w:t>
      </w:r>
    </w:p>
    <w:p w14:paraId="4E669424">
      <w:pPr>
        <w:ind w:firstLine="480"/>
        <w:rPr>
          <w:rFonts w:hint="eastAsia" w:ascii="仿宋" w:hAnsi="仿宋" w:eastAsia="仿宋" w:cs="仿宋"/>
          <w:szCs w:val="21"/>
        </w:rPr>
      </w:pPr>
      <w:bookmarkStart w:id="0" w:name="_Hlk149815317"/>
      <w:r>
        <w:rPr>
          <w:rFonts w:ascii="仿宋" w:hAnsi="仿宋" w:eastAsia="仿宋" w:cs="仿宋"/>
          <w:szCs w:val="21"/>
          <w:lang w:val="it-IT"/>
        </w:rPr>
        <w:t>20</w:t>
      </w:r>
      <w:r>
        <w:rPr>
          <w:rFonts w:ascii="仿宋" w:hAnsi="仿宋" w:eastAsia="仿宋" w:cs="仿宋"/>
          <w:szCs w:val="21"/>
        </w:rPr>
        <w:t>21</w:t>
      </w:r>
      <w:r>
        <w:rPr>
          <w:rFonts w:hint="eastAsia" w:ascii="仿宋" w:hAnsi="仿宋" w:eastAsia="仿宋" w:cs="仿宋"/>
          <w:szCs w:val="21"/>
          <w:lang w:val="it-IT"/>
        </w:rPr>
        <w:t>年</w:t>
      </w:r>
      <w:r>
        <w:rPr>
          <w:rFonts w:ascii="仿宋" w:hAnsi="仿宋" w:eastAsia="仿宋" w:cs="仿宋"/>
          <w:szCs w:val="21"/>
        </w:rPr>
        <w:t>7</w:t>
      </w:r>
      <w:r>
        <w:rPr>
          <w:rFonts w:hint="eastAsia" w:ascii="仿宋" w:hAnsi="仿宋" w:eastAsia="仿宋" w:cs="仿宋"/>
          <w:szCs w:val="21"/>
          <w:lang w:val="it-IT"/>
        </w:rPr>
        <w:t>月本</w:t>
      </w:r>
      <w:r>
        <w:rPr>
          <w:rFonts w:hint="eastAsia" w:ascii="仿宋" w:hAnsi="仿宋" w:eastAsia="仿宋" w:cs="仿宋"/>
          <w:szCs w:val="21"/>
        </w:rPr>
        <w:t>文件</w:t>
      </w:r>
      <w:r>
        <w:rPr>
          <w:rFonts w:hint="eastAsia" w:ascii="仿宋" w:hAnsi="仿宋" w:eastAsia="仿宋" w:cs="仿宋"/>
          <w:szCs w:val="21"/>
          <w:lang w:val="it-IT"/>
        </w:rPr>
        <w:t>经中国香料香精化妆品工业协会审议通过立项，通知见《关于</w:t>
      </w:r>
      <w:r>
        <w:rPr>
          <w:rFonts w:ascii="仿宋" w:hAnsi="仿宋" w:eastAsia="仿宋" w:cs="仿宋"/>
          <w:szCs w:val="21"/>
          <w:lang w:val="it-IT"/>
        </w:rPr>
        <w:t>20</w:t>
      </w:r>
      <w:r>
        <w:rPr>
          <w:rFonts w:ascii="仿宋" w:hAnsi="仿宋" w:eastAsia="仿宋" w:cs="仿宋"/>
          <w:szCs w:val="21"/>
        </w:rPr>
        <w:t>21</w:t>
      </w:r>
      <w:r>
        <w:rPr>
          <w:rFonts w:hint="eastAsia" w:ascii="仿宋" w:hAnsi="仿宋" w:eastAsia="仿宋" w:cs="仿宋"/>
          <w:szCs w:val="21"/>
          <w:lang w:val="it-IT"/>
        </w:rPr>
        <w:t>年协会团体标准（第二批）立项公示的通知》（香化协字</w:t>
      </w:r>
      <w:r>
        <w:rPr>
          <w:rFonts w:ascii="仿宋" w:hAnsi="仿宋" w:eastAsia="仿宋" w:cs="仿宋"/>
          <w:szCs w:val="21"/>
          <w:lang w:val="it-IT"/>
        </w:rPr>
        <w:t>[20</w:t>
      </w:r>
      <w:r>
        <w:rPr>
          <w:rFonts w:ascii="仿宋" w:hAnsi="仿宋" w:eastAsia="仿宋" w:cs="仿宋"/>
          <w:szCs w:val="21"/>
        </w:rPr>
        <w:t>21</w:t>
      </w:r>
      <w:r>
        <w:rPr>
          <w:rFonts w:ascii="仿宋" w:hAnsi="仿宋" w:eastAsia="仿宋" w:cs="仿宋"/>
          <w:szCs w:val="21"/>
          <w:lang w:val="it-IT"/>
        </w:rPr>
        <w:t>]</w:t>
      </w:r>
      <w:r>
        <w:rPr>
          <w:rFonts w:ascii="仿宋" w:hAnsi="仿宋" w:eastAsia="仿宋" w:cs="仿宋"/>
          <w:szCs w:val="21"/>
        </w:rPr>
        <w:t>35</w:t>
      </w:r>
      <w:r>
        <w:rPr>
          <w:rFonts w:hint="eastAsia" w:ascii="仿宋" w:hAnsi="仿宋" w:eastAsia="仿宋" w:cs="仿宋"/>
          <w:szCs w:val="21"/>
          <w:lang w:val="it-IT"/>
        </w:rPr>
        <w:t>号）。</w:t>
      </w:r>
    </w:p>
    <w:bookmarkEnd w:id="0"/>
    <w:p w14:paraId="504DFFD8">
      <w:pPr>
        <w:pStyle w:val="4"/>
      </w:pPr>
      <w:r>
        <w:rPr>
          <w:rFonts w:hint="eastAsia"/>
        </w:rPr>
        <w:t>2. 目的和意义</w:t>
      </w:r>
    </w:p>
    <w:p w14:paraId="5B5CE858">
      <w:pPr>
        <w:ind w:firstLine="480"/>
        <w:rPr>
          <w:rFonts w:hint="eastAsia" w:ascii="仿宋" w:hAnsi="仿宋" w:eastAsia="仿宋" w:cs="仿宋"/>
          <w:szCs w:val="21"/>
          <w:lang w:val="it-IT"/>
        </w:rPr>
      </w:pPr>
      <w:r>
        <w:rPr>
          <w:rFonts w:hint="eastAsia" w:ascii="仿宋" w:hAnsi="仿宋" w:eastAsia="仿宋" w:cs="仿宋"/>
          <w:szCs w:val="21"/>
          <w:lang w:val="it-IT"/>
        </w:rPr>
        <w:t>龙胆始载于《神农本草经》</w:t>
      </w:r>
      <w:r>
        <w:rPr>
          <w:rFonts w:hint="eastAsia" w:ascii="仿宋" w:hAnsi="仿宋" w:eastAsia="仿宋" w:cs="仿宋"/>
          <w:szCs w:val="21"/>
        </w:rPr>
        <w:t>，</w:t>
      </w:r>
      <w:r>
        <w:rPr>
          <w:rFonts w:ascii="仿宋" w:hAnsi="仿宋" w:eastAsia="仿宋" w:cs="仿宋"/>
          <w:szCs w:val="21"/>
          <w:lang w:val="it-IT"/>
        </w:rPr>
        <w:t>据</w:t>
      </w:r>
      <w:r>
        <w:rPr>
          <w:rFonts w:ascii="仿宋" w:hAnsi="仿宋" w:eastAsia="仿宋" w:cs="仿宋"/>
          <w:szCs w:val="21"/>
        </w:rPr>
        <w:t>20</w:t>
      </w:r>
      <w:r>
        <w:rPr>
          <w:rFonts w:hint="eastAsia" w:ascii="仿宋" w:hAnsi="仿宋" w:eastAsia="仿宋" w:cs="仿宋"/>
          <w:szCs w:val="21"/>
        </w:rPr>
        <w:t>20</w:t>
      </w:r>
      <w:r>
        <w:rPr>
          <w:rFonts w:ascii="仿宋" w:hAnsi="仿宋" w:eastAsia="仿宋" w:cs="仿宋"/>
          <w:szCs w:val="21"/>
          <w:lang w:val="it-IT"/>
        </w:rPr>
        <w:t>版《中国药典》记载</w:t>
      </w:r>
      <w:r>
        <w:rPr>
          <w:rFonts w:ascii="仿宋" w:hAnsi="仿宋" w:eastAsia="仿宋" w:cs="仿宋"/>
          <w:szCs w:val="21"/>
        </w:rPr>
        <w:t>，</w:t>
      </w:r>
      <w:r>
        <w:rPr>
          <w:rFonts w:hint="eastAsia" w:ascii="仿宋" w:hAnsi="仿宋" w:eastAsia="仿宋" w:cs="仿宋"/>
          <w:szCs w:val="21"/>
          <w:lang w:val="it-IT"/>
        </w:rPr>
        <w:t>龙胆为龙胆科植物条叶龙胆</w:t>
      </w:r>
      <w:r>
        <w:rPr>
          <w:rFonts w:hint="eastAsia" w:ascii="仿宋" w:hAnsi="仿宋" w:eastAsia="仿宋" w:cs="仿宋"/>
          <w:szCs w:val="21"/>
        </w:rPr>
        <w:t>（Gentiana manshurica Kitag</w:t>
      </w:r>
      <w:r>
        <w:rPr>
          <w:rFonts w:ascii="仿宋" w:hAnsi="仿宋" w:eastAsia="仿宋" w:cs="仿宋"/>
          <w:szCs w:val="21"/>
        </w:rPr>
        <w:t>.</w:t>
      </w:r>
      <w:r>
        <w:rPr>
          <w:rFonts w:hint="eastAsia" w:ascii="仿宋" w:hAnsi="仿宋" w:eastAsia="仿宋" w:cs="仿宋"/>
          <w:szCs w:val="21"/>
        </w:rPr>
        <w:t>）</w:t>
      </w:r>
      <w:r>
        <w:rPr>
          <w:rFonts w:hint="eastAsia" w:ascii="仿宋" w:hAnsi="仿宋" w:eastAsia="仿宋" w:cs="仿宋"/>
          <w:szCs w:val="21"/>
          <w:lang w:val="it-IT"/>
        </w:rPr>
        <w:t>、龙胆</w:t>
      </w:r>
      <w:r>
        <w:rPr>
          <w:rFonts w:hint="eastAsia" w:ascii="仿宋" w:hAnsi="仿宋" w:eastAsia="仿宋" w:cs="仿宋"/>
          <w:szCs w:val="21"/>
        </w:rPr>
        <w:t>（G</w:t>
      </w:r>
      <w:r>
        <w:rPr>
          <w:rFonts w:ascii="仿宋" w:hAnsi="仿宋" w:eastAsia="仿宋" w:cs="仿宋"/>
          <w:szCs w:val="21"/>
        </w:rPr>
        <w:t xml:space="preserve">entiana </w:t>
      </w:r>
      <w:r>
        <w:rPr>
          <w:rFonts w:hint="eastAsia" w:ascii="仿宋" w:hAnsi="仿宋" w:eastAsia="仿宋" w:cs="仿宋"/>
          <w:szCs w:val="21"/>
        </w:rPr>
        <w:t>scabra Bge</w:t>
      </w:r>
      <w:r>
        <w:rPr>
          <w:rFonts w:ascii="仿宋" w:hAnsi="仿宋" w:eastAsia="仿宋" w:cs="仿宋"/>
          <w:szCs w:val="21"/>
        </w:rPr>
        <w:t>.</w:t>
      </w:r>
      <w:r>
        <w:rPr>
          <w:rFonts w:hint="eastAsia" w:ascii="仿宋" w:hAnsi="仿宋" w:eastAsia="仿宋" w:cs="仿宋"/>
          <w:szCs w:val="21"/>
        </w:rPr>
        <w:t>）</w:t>
      </w:r>
      <w:r>
        <w:rPr>
          <w:rFonts w:hint="eastAsia" w:ascii="仿宋" w:hAnsi="仿宋" w:eastAsia="仿宋" w:cs="仿宋"/>
          <w:szCs w:val="21"/>
          <w:lang w:val="it-IT"/>
        </w:rPr>
        <w:t>、三花龙胆</w:t>
      </w:r>
      <w:r>
        <w:rPr>
          <w:rFonts w:hint="eastAsia" w:ascii="仿宋" w:hAnsi="仿宋" w:eastAsia="仿宋" w:cs="仿宋"/>
          <w:szCs w:val="21"/>
        </w:rPr>
        <w:t>（G</w:t>
      </w:r>
      <w:r>
        <w:rPr>
          <w:rFonts w:ascii="仿宋" w:hAnsi="仿宋" w:eastAsia="仿宋" w:cs="仿宋"/>
          <w:szCs w:val="21"/>
        </w:rPr>
        <w:t>entiana</w:t>
      </w:r>
      <w:r>
        <w:rPr>
          <w:rFonts w:hint="eastAsia" w:ascii="仿宋" w:hAnsi="仿宋" w:eastAsia="仿宋" w:cs="仿宋"/>
          <w:szCs w:val="21"/>
        </w:rPr>
        <w:t xml:space="preserve"> triflora Pall</w:t>
      </w:r>
      <w:r>
        <w:rPr>
          <w:rFonts w:ascii="仿宋" w:hAnsi="仿宋" w:eastAsia="仿宋" w:cs="仿宋"/>
          <w:szCs w:val="21"/>
        </w:rPr>
        <w:t>.</w:t>
      </w:r>
      <w:r>
        <w:rPr>
          <w:rFonts w:hint="eastAsia" w:ascii="仿宋" w:hAnsi="仿宋" w:eastAsia="仿宋" w:cs="仿宋"/>
          <w:szCs w:val="21"/>
        </w:rPr>
        <w:t>）</w:t>
      </w:r>
      <w:r>
        <w:rPr>
          <w:rFonts w:hint="eastAsia" w:ascii="仿宋" w:hAnsi="仿宋" w:eastAsia="仿宋" w:cs="仿宋"/>
          <w:szCs w:val="21"/>
          <w:lang w:val="it-IT"/>
        </w:rPr>
        <w:t>或坚龙胆</w:t>
      </w:r>
      <w:r>
        <w:rPr>
          <w:rFonts w:hint="eastAsia" w:ascii="仿宋" w:hAnsi="仿宋" w:eastAsia="仿宋" w:cs="仿宋"/>
          <w:szCs w:val="21"/>
        </w:rPr>
        <w:t>（G</w:t>
      </w:r>
      <w:r>
        <w:rPr>
          <w:rFonts w:ascii="仿宋" w:hAnsi="仿宋" w:eastAsia="仿宋" w:cs="仿宋"/>
          <w:szCs w:val="21"/>
        </w:rPr>
        <w:t>entiana</w:t>
      </w:r>
      <w:r>
        <w:rPr>
          <w:rFonts w:hint="eastAsia" w:ascii="仿宋" w:hAnsi="仿宋" w:eastAsia="仿宋" w:cs="仿宋"/>
          <w:szCs w:val="21"/>
        </w:rPr>
        <w:t xml:space="preserve"> rigescens Franch</w:t>
      </w:r>
      <w:r>
        <w:rPr>
          <w:rFonts w:ascii="仿宋" w:hAnsi="仿宋" w:eastAsia="仿宋" w:cs="仿宋"/>
          <w:szCs w:val="21"/>
        </w:rPr>
        <w:t>.</w:t>
      </w:r>
      <w:r>
        <w:rPr>
          <w:rFonts w:hint="eastAsia" w:ascii="仿宋" w:hAnsi="仿宋" w:eastAsia="仿宋" w:cs="仿宋"/>
          <w:szCs w:val="21"/>
        </w:rPr>
        <w:t>）</w:t>
      </w:r>
      <w:r>
        <w:rPr>
          <w:rFonts w:hint="eastAsia" w:ascii="仿宋" w:hAnsi="仿宋" w:eastAsia="仿宋" w:cs="仿宋"/>
          <w:szCs w:val="21"/>
          <w:lang w:val="it-IT"/>
        </w:rPr>
        <w:t>的干燥根和根茎。前三种习称“龙胆”，后一种习称“坚龙胆”。龙胆苦、寒，归肝、胆经。可以清热燥湿，泻肝胆火，可用于湿热黄疸、阴肿瘙痒等症[</w:t>
      </w:r>
      <w:r>
        <w:rPr>
          <w:rFonts w:ascii="仿宋" w:hAnsi="仿宋" w:eastAsia="仿宋" w:cs="仿宋"/>
          <w:szCs w:val="21"/>
          <w:lang w:val="it-IT"/>
        </w:rPr>
        <w:t>1</w:t>
      </w:r>
      <w:r>
        <w:rPr>
          <w:rFonts w:hint="eastAsia" w:ascii="仿宋" w:hAnsi="仿宋" w:eastAsia="仿宋" w:cs="仿宋"/>
          <w:szCs w:val="21"/>
          <w:lang w:val="it-IT"/>
        </w:rPr>
        <w:t>]。</w:t>
      </w:r>
    </w:p>
    <w:p w14:paraId="164A60DF">
      <w:pPr>
        <w:ind w:firstLine="480"/>
        <w:rPr>
          <w:rFonts w:hint="eastAsia" w:ascii="仿宋" w:hAnsi="仿宋" w:eastAsia="仿宋" w:cs="仿宋"/>
          <w:szCs w:val="21"/>
          <w:lang w:val="it-IT"/>
        </w:rPr>
      </w:pPr>
      <w:r>
        <w:rPr>
          <w:rFonts w:hint="eastAsia" w:ascii="仿宋" w:hAnsi="仿宋" w:eastAsia="仿宋" w:cs="仿宋"/>
          <w:szCs w:val="21"/>
          <w:lang w:val="it-IT"/>
        </w:rPr>
        <w:t>龙胆原产内蒙古、黑龙江、吉林、辽宁、贵州，陕西、湖北、湖南、安徽、江苏、浙江、福建、广东、广西。生于山坡草地、路边、河滩、灌丛中、林缘及林下、草甸，海拔400-</w:t>
      </w:r>
      <w:r>
        <w:rPr>
          <w:rFonts w:ascii="仿宋" w:hAnsi="仿宋" w:eastAsia="仿宋" w:cs="仿宋"/>
          <w:szCs w:val="21"/>
          <w:lang w:val="it-IT"/>
        </w:rPr>
        <w:t>3000</w:t>
      </w:r>
      <w:r>
        <w:rPr>
          <w:rFonts w:hint="eastAsia" w:ascii="仿宋" w:hAnsi="仿宋" w:eastAsia="仿宋" w:cs="仿宋"/>
          <w:szCs w:val="21"/>
          <w:lang w:val="it-IT"/>
        </w:rPr>
        <w:t>米[</w:t>
      </w:r>
      <w:r>
        <w:rPr>
          <w:rFonts w:ascii="仿宋" w:hAnsi="仿宋" w:eastAsia="仿宋" w:cs="仿宋"/>
          <w:szCs w:val="21"/>
          <w:lang w:val="it-IT"/>
        </w:rPr>
        <w:t>2</w:t>
      </w:r>
      <w:r>
        <w:rPr>
          <w:rFonts w:hint="eastAsia" w:ascii="仿宋" w:hAnsi="仿宋" w:eastAsia="仿宋" w:cs="仿宋"/>
          <w:szCs w:val="21"/>
          <w:lang w:val="it-IT"/>
        </w:rPr>
        <w:t>]。</w:t>
      </w:r>
    </w:p>
    <w:p w14:paraId="3E7309E1">
      <w:pPr>
        <w:ind w:firstLine="480"/>
        <w:rPr>
          <w:rFonts w:hint="eastAsia" w:ascii="仿宋" w:hAnsi="仿宋" w:eastAsia="仿宋" w:cs="仿宋"/>
          <w:szCs w:val="21"/>
          <w:lang w:val="it-IT"/>
        </w:rPr>
      </w:pPr>
      <w:r>
        <w:rPr>
          <w:rFonts w:hint="eastAsia" w:ascii="仿宋" w:hAnsi="仿宋" w:eastAsia="仿宋" w:cs="仿宋"/>
          <w:szCs w:val="21"/>
          <w:lang w:val="it-IT"/>
        </w:rPr>
        <w:t>龙胆中化学成分种类丰富，主要为苦苷类成分，多糖类成分，生物碱类成分等。其中龙胆苦苷在龙胆属植物中广泛分布，含量相对较高。现代药理研究表明，龙胆苦苷具有显著的肝脏保护、抗炎、抗病原微生物、中枢兴奋及健胃利胆等作用，与中医对龙胆的应用基本一致，可见龙胆苦苷是龙胆中的主要有效成分，是评价龙胆质量的首要指标[</w:t>
      </w:r>
      <w:r>
        <w:rPr>
          <w:rFonts w:ascii="仿宋" w:hAnsi="仿宋" w:eastAsia="仿宋" w:cs="仿宋"/>
          <w:szCs w:val="21"/>
          <w:lang w:val="it-IT"/>
        </w:rPr>
        <w:t>3</w:t>
      </w:r>
      <w:r>
        <w:rPr>
          <w:rFonts w:hint="eastAsia" w:ascii="仿宋" w:hAnsi="仿宋" w:eastAsia="仿宋" w:cs="仿宋"/>
          <w:szCs w:val="21"/>
          <w:lang w:val="it-IT"/>
        </w:rPr>
        <w:t>]。</w:t>
      </w:r>
    </w:p>
    <w:p w14:paraId="5E4EBF6C">
      <w:pPr>
        <w:ind w:firstLine="480"/>
        <w:rPr>
          <w:rFonts w:hint="eastAsia" w:ascii="仿宋" w:hAnsi="仿宋" w:eastAsia="仿宋" w:cs="仿宋"/>
          <w:szCs w:val="21"/>
          <w:lang w:val="it-IT"/>
        </w:rPr>
      </w:pPr>
      <w:r>
        <w:rPr>
          <w:rFonts w:hint="eastAsia" w:ascii="仿宋" w:hAnsi="仿宋" w:eastAsia="仿宋" w:cs="仿宋"/>
          <w:szCs w:val="21"/>
          <w:lang w:val="it-IT"/>
        </w:rPr>
        <w:t>目前现代药理作用研究表明龙胆除了可以应用于临床，还可以应用与护肤。有文献记载，龙胆及其相关复方具有一定的程度的美白及抗衰老作用。</w:t>
      </w:r>
    </w:p>
    <w:p w14:paraId="0E128567">
      <w:pPr>
        <w:ind w:firstLine="480"/>
        <w:rPr>
          <w:rFonts w:hint="eastAsia" w:ascii="仿宋" w:hAnsi="仿宋" w:eastAsia="仿宋" w:cs="仿宋"/>
          <w:szCs w:val="21"/>
          <w:lang w:val="it-IT"/>
        </w:rPr>
      </w:pPr>
      <w:r>
        <w:rPr>
          <w:rFonts w:ascii="仿宋" w:hAnsi="仿宋" w:eastAsia="仿宋" w:cs="仿宋"/>
          <w:szCs w:val="21"/>
          <w:lang w:val="it-IT"/>
        </w:rPr>
        <w:t>目前</w:t>
      </w:r>
      <w:r>
        <w:rPr>
          <w:rFonts w:hint="eastAsia" w:ascii="仿宋" w:hAnsi="仿宋" w:eastAsia="仿宋" w:cs="仿宋"/>
          <w:szCs w:val="21"/>
          <w:lang w:val="it-IT"/>
        </w:rPr>
        <w:t>化妆品市场对龙胆</w:t>
      </w:r>
      <w:r>
        <w:rPr>
          <w:rFonts w:ascii="仿宋" w:hAnsi="仿宋" w:eastAsia="仿宋" w:cs="仿宋"/>
          <w:szCs w:val="21"/>
          <w:lang w:val="it-IT"/>
        </w:rPr>
        <w:t>提取物</w:t>
      </w:r>
      <w:r>
        <w:rPr>
          <w:rFonts w:hint="eastAsia" w:ascii="仿宋" w:hAnsi="仿宋" w:eastAsia="仿宋" w:cs="仿宋"/>
          <w:szCs w:val="21"/>
          <w:lang w:val="it-IT"/>
        </w:rPr>
        <w:t>的需求逐步增加，主要是将其应用到一些抗敏类护肤品中。但是目前化妆品原料标准中尚无对于中药提取物龙胆的质量控制标准，这对于龙胆提取物的质量控制存在极大的问题。这会导致原料的质量存在明显差异，以次充好等现象的出现，会为化妆品公司采购原料带来困难，也使得产品难以达到预估的功效，会严重损害消费者的利益，</w:t>
      </w:r>
      <w:r>
        <w:rPr>
          <w:rFonts w:ascii="仿宋" w:hAnsi="仿宋" w:eastAsia="仿宋" w:cs="仿宋"/>
          <w:szCs w:val="21"/>
          <w:lang w:val="it-IT"/>
        </w:rPr>
        <w:t>因此需要对</w:t>
      </w:r>
      <w:r>
        <w:rPr>
          <w:rFonts w:hint="eastAsia" w:ascii="仿宋" w:hAnsi="仿宋" w:eastAsia="仿宋" w:cs="仿宋"/>
          <w:szCs w:val="21"/>
          <w:lang w:val="it-IT"/>
        </w:rPr>
        <w:t>龙胆</w:t>
      </w:r>
      <w:r>
        <w:rPr>
          <w:rFonts w:ascii="仿宋" w:hAnsi="仿宋" w:eastAsia="仿宋" w:cs="仿宋"/>
          <w:szCs w:val="21"/>
          <w:lang w:val="it-IT"/>
        </w:rPr>
        <w:t>提取物的质量进行全面的控制。目前，</w:t>
      </w:r>
      <w:r>
        <w:rPr>
          <w:rFonts w:hint="eastAsia" w:ascii="仿宋" w:hAnsi="仿宋" w:eastAsia="仿宋" w:cs="仿宋"/>
          <w:szCs w:val="21"/>
          <w:lang w:val="it-IT"/>
        </w:rPr>
        <w:t>龙胆</w:t>
      </w:r>
      <w:r>
        <w:rPr>
          <w:rFonts w:ascii="仿宋" w:hAnsi="仿宋" w:eastAsia="仿宋" w:cs="仿宋"/>
          <w:szCs w:val="21"/>
          <w:lang w:val="it-IT"/>
        </w:rPr>
        <w:t>收载于《中国药典》(20</w:t>
      </w:r>
      <w:r>
        <w:rPr>
          <w:rFonts w:hint="eastAsia" w:ascii="仿宋" w:hAnsi="仿宋" w:eastAsia="仿宋" w:cs="仿宋"/>
          <w:szCs w:val="21"/>
          <w:lang w:val="it-IT"/>
        </w:rPr>
        <w:t>20</w:t>
      </w:r>
      <w:r>
        <w:rPr>
          <w:rFonts w:ascii="仿宋" w:hAnsi="仿宋" w:eastAsia="仿宋" w:cs="仿宋"/>
          <w:szCs w:val="21"/>
          <w:lang w:val="it-IT"/>
        </w:rPr>
        <w:t>年版)，并且在药典中有明确的质量标准规范，其中规定</w:t>
      </w:r>
      <w:r>
        <w:rPr>
          <w:rFonts w:hint="eastAsia" w:ascii="仿宋" w:hAnsi="仿宋" w:eastAsia="仿宋" w:cs="仿宋"/>
          <w:szCs w:val="21"/>
          <w:lang w:val="it-IT"/>
        </w:rPr>
        <w:t>龙胆苦苷</w:t>
      </w:r>
      <w:r>
        <w:rPr>
          <w:rFonts w:ascii="仿宋" w:hAnsi="仿宋" w:eastAsia="仿宋" w:cs="仿宋"/>
          <w:szCs w:val="21"/>
          <w:lang w:val="it-IT"/>
        </w:rPr>
        <w:t>含量不得少于2.0 %</w:t>
      </w:r>
      <w:bookmarkStart w:id="6" w:name="_GoBack"/>
      <w:bookmarkEnd w:id="6"/>
      <w:r>
        <w:rPr>
          <w:rFonts w:ascii="仿宋" w:hAnsi="仿宋" w:eastAsia="仿宋" w:cs="仿宋"/>
          <w:szCs w:val="21"/>
          <w:lang w:val="it-IT"/>
        </w:rPr>
        <w:t>。参考中国药典对于</w:t>
      </w:r>
      <w:r>
        <w:rPr>
          <w:rFonts w:hint="eastAsia" w:ascii="仿宋" w:hAnsi="仿宋" w:eastAsia="仿宋" w:cs="仿宋"/>
          <w:szCs w:val="21"/>
          <w:lang w:val="it-IT"/>
        </w:rPr>
        <w:t>龙胆</w:t>
      </w:r>
      <w:r>
        <w:rPr>
          <w:rFonts w:ascii="仿宋" w:hAnsi="仿宋" w:eastAsia="仿宋" w:cs="仿宋"/>
          <w:szCs w:val="21"/>
          <w:lang w:val="it-IT"/>
        </w:rPr>
        <w:t>的质量控制规范</w:t>
      </w:r>
      <w:r>
        <w:rPr>
          <w:rFonts w:hint="eastAsia" w:ascii="仿宋" w:hAnsi="仿宋" w:eastAsia="仿宋" w:cs="仿宋"/>
          <w:szCs w:val="21"/>
          <w:lang w:val="it-IT"/>
        </w:rPr>
        <w:t>建立龙胆</w:t>
      </w:r>
      <w:r>
        <w:rPr>
          <w:rFonts w:ascii="仿宋" w:hAnsi="仿宋" w:eastAsia="仿宋" w:cs="仿宋"/>
          <w:szCs w:val="21"/>
          <w:lang w:val="it-IT"/>
        </w:rPr>
        <w:t>提取物的原料标准</w:t>
      </w:r>
      <w:r>
        <w:rPr>
          <w:rFonts w:hint="eastAsia" w:ascii="仿宋" w:hAnsi="仿宋" w:eastAsia="仿宋" w:cs="仿宋"/>
          <w:szCs w:val="21"/>
          <w:lang w:val="it-IT"/>
        </w:rPr>
        <w:t>对于规范龙胆的提取物的质量具有重要意义</w:t>
      </w:r>
      <w:r>
        <w:rPr>
          <w:rFonts w:ascii="仿宋" w:hAnsi="仿宋" w:eastAsia="仿宋" w:cs="仿宋"/>
          <w:szCs w:val="21"/>
          <w:lang w:val="it-IT"/>
        </w:rPr>
        <w:t>，对</w:t>
      </w:r>
      <w:r>
        <w:rPr>
          <w:rFonts w:hint="eastAsia" w:ascii="仿宋" w:hAnsi="仿宋" w:eastAsia="仿宋" w:cs="仿宋"/>
          <w:szCs w:val="21"/>
          <w:lang w:val="it-IT"/>
        </w:rPr>
        <w:t>龙胆</w:t>
      </w:r>
      <w:r>
        <w:rPr>
          <w:rFonts w:ascii="仿宋" w:hAnsi="仿宋" w:eastAsia="仿宋" w:cs="仿宋"/>
          <w:szCs w:val="21"/>
          <w:lang w:val="it-IT"/>
        </w:rPr>
        <w:t>提取物在化妆品行业的</w:t>
      </w:r>
      <w:r>
        <w:rPr>
          <w:rFonts w:hint="eastAsia" w:ascii="仿宋" w:hAnsi="仿宋" w:eastAsia="仿宋" w:cs="仿宋"/>
          <w:szCs w:val="21"/>
          <w:lang w:val="it-IT"/>
        </w:rPr>
        <w:t>应用</w:t>
      </w:r>
      <w:r>
        <w:rPr>
          <w:rFonts w:ascii="仿宋" w:hAnsi="仿宋" w:eastAsia="仿宋" w:cs="仿宋"/>
          <w:szCs w:val="21"/>
          <w:lang w:val="it-IT"/>
        </w:rPr>
        <w:t>发展</w:t>
      </w:r>
      <w:r>
        <w:rPr>
          <w:rFonts w:hint="eastAsia" w:ascii="仿宋" w:hAnsi="仿宋" w:eastAsia="仿宋" w:cs="仿宋"/>
          <w:szCs w:val="21"/>
          <w:lang w:val="it-IT"/>
        </w:rPr>
        <w:t>也</w:t>
      </w:r>
      <w:r>
        <w:rPr>
          <w:rFonts w:ascii="仿宋" w:hAnsi="仿宋" w:eastAsia="仿宋" w:cs="仿宋"/>
          <w:szCs w:val="21"/>
          <w:lang w:val="it-IT"/>
        </w:rPr>
        <w:t>具有重要意义。</w:t>
      </w:r>
    </w:p>
    <w:p w14:paraId="163A3DD7">
      <w:pPr>
        <w:ind w:firstLine="480"/>
        <w:rPr>
          <w:rFonts w:hint="eastAsia" w:ascii="仿宋" w:hAnsi="仿宋" w:eastAsia="仿宋" w:cs="仿宋"/>
          <w:szCs w:val="21"/>
          <w:lang w:val="it-IT"/>
        </w:rPr>
      </w:pPr>
    </w:p>
    <w:p w14:paraId="53631495">
      <w:pPr>
        <w:ind w:firstLine="480"/>
        <w:rPr>
          <w:rFonts w:hint="eastAsia" w:ascii="仿宋" w:hAnsi="仿宋" w:eastAsia="仿宋" w:cs="仿宋"/>
          <w:szCs w:val="21"/>
          <w:lang w:val="it-IT"/>
        </w:rPr>
      </w:pPr>
      <w:r>
        <w:rPr>
          <w:rFonts w:ascii="仿宋" w:hAnsi="仿宋" w:eastAsia="仿宋" w:cs="仿宋"/>
          <w:szCs w:val="21"/>
          <w:lang w:val="it-IT"/>
        </w:rPr>
        <w:t>参考文献：</w:t>
      </w:r>
    </w:p>
    <w:p w14:paraId="1B1969CE">
      <w:pPr>
        <w:ind w:firstLine="480"/>
        <w:rPr>
          <w:rFonts w:hint="eastAsia" w:ascii="仿宋" w:hAnsi="仿宋" w:eastAsia="仿宋" w:cs="仿宋"/>
          <w:szCs w:val="21"/>
          <w:lang w:val="it-IT"/>
        </w:rPr>
      </w:pPr>
      <w:bookmarkStart w:id="1" w:name="OLE_LINK80"/>
      <w:bookmarkStart w:id="2" w:name="OLE_LINK64"/>
      <w:r>
        <w:rPr>
          <w:rFonts w:hint="eastAsia" w:ascii="仿宋" w:hAnsi="仿宋" w:eastAsia="仿宋" w:cs="仿宋"/>
          <w:szCs w:val="21"/>
          <w:lang w:val="it-IT"/>
        </w:rPr>
        <w:t xml:space="preserve">[1] </w:t>
      </w:r>
      <w:r>
        <w:rPr>
          <w:rFonts w:ascii="仿宋" w:hAnsi="仿宋" w:eastAsia="仿宋" w:cs="仿宋"/>
          <w:szCs w:val="21"/>
          <w:lang w:val="it-IT"/>
        </w:rPr>
        <w:t xml:space="preserve">中国药典2020年版. 一部[S]. 2015: </w:t>
      </w:r>
      <w:bookmarkEnd w:id="1"/>
      <w:bookmarkEnd w:id="2"/>
      <w:r>
        <w:rPr>
          <w:rFonts w:ascii="仿宋" w:hAnsi="仿宋" w:eastAsia="仿宋" w:cs="仿宋"/>
          <w:szCs w:val="21"/>
          <w:lang w:val="it-IT"/>
        </w:rPr>
        <w:t>99-100</w:t>
      </w:r>
    </w:p>
    <w:p w14:paraId="38FCB6DD">
      <w:pPr>
        <w:ind w:firstLine="480"/>
        <w:rPr>
          <w:rFonts w:hint="eastAsia" w:ascii="仿宋" w:hAnsi="仿宋" w:eastAsia="仿宋" w:cs="仿宋"/>
          <w:szCs w:val="21"/>
          <w:lang w:val="it-IT"/>
        </w:rPr>
      </w:pPr>
      <w:r>
        <w:rPr>
          <w:rFonts w:hint="eastAsia" w:ascii="仿宋" w:hAnsi="仿宋" w:eastAsia="仿宋" w:cs="仿宋"/>
          <w:szCs w:val="21"/>
          <w:lang w:val="it-IT"/>
        </w:rPr>
        <w:t>[2] 中国植物志</w:t>
      </w:r>
    </w:p>
    <w:p w14:paraId="52000A82">
      <w:pPr>
        <w:ind w:firstLine="480"/>
        <w:rPr>
          <w:rFonts w:hint="eastAsia" w:ascii="仿宋" w:hAnsi="仿宋" w:eastAsia="仿宋" w:cs="仿宋"/>
          <w:szCs w:val="21"/>
          <w:lang w:val="it-IT"/>
        </w:rPr>
      </w:pPr>
      <w:r>
        <w:rPr>
          <w:rFonts w:hint="eastAsia" w:ascii="仿宋" w:hAnsi="仿宋" w:eastAsia="仿宋" w:cs="仿宋"/>
          <w:szCs w:val="21"/>
          <w:lang w:val="it-IT"/>
        </w:rPr>
        <w:t>[3] 刘涛，才谦，付玉芹，等.</w:t>
      </w:r>
      <w:r>
        <w:rPr>
          <w:rFonts w:ascii="仿宋" w:hAnsi="仿宋" w:eastAsia="仿宋" w:cs="仿宋"/>
          <w:szCs w:val="21"/>
          <w:lang w:val="it-IT"/>
        </w:rPr>
        <w:t xml:space="preserve"> 中药龙胆的研究进展［J］. 辽宁中医杂志，2004,1:85-86.</w:t>
      </w:r>
    </w:p>
    <w:p w14:paraId="66A00F57">
      <w:pPr>
        <w:pStyle w:val="4"/>
        <w:rPr>
          <w:rFonts w:hint="eastAsia" w:ascii="华文中宋" w:hAnsi="华文中宋" w:eastAsia="华文中宋" w:cs="华文中宋"/>
          <w:lang w:val="sv-SE"/>
        </w:rPr>
      </w:pPr>
      <w:r>
        <w:rPr>
          <w:rFonts w:hint="eastAsia" w:ascii="华文中宋" w:hAnsi="华文中宋" w:eastAsia="华文中宋" w:cs="华文中宋"/>
          <w:lang w:val="sv-SE"/>
        </w:rPr>
        <w:t>3. 起草单位与主要起草人</w:t>
      </w:r>
    </w:p>
    <w:p w14:paraId="25796EF3">
      <w:pPr>
        <w:ind w:firstLine="480"/>
        <w:rPr>
          <w:rFonts w:hint="eastAsia" w:ascii="仿宋" w:hAnsi="仿宋" w:eastAsia="仿宋" w:cs="仿宋"/>
          <w:szCs w:val="21"/>
          <w:lang w:val="sv-SE"/>
        </w:rPr>
      </w:pPr>
      <w:r>
        <w:rPr>
          <w:rFonts w:hint="eastAsia" w:ascii="仿宋" w:hAnsi="仿宋" w:eastAsia="仿宋" w:cs="仿宋"/>
          <w:szCs w:val="21"/>
          <w:lang w:val="sv-SE"/>
        </w:rPr>
        <w:t>主要起草单位：上海相宜本草化妆品股份有限公司</w:t>
      </w:r>
    </w:p>
    <w:p w14:paraId="3EA21ACC">
      <w:pPr>
        <w:ind w:firstLine="480"/>
        <w:rPr>
          <w:rFonts w:hint="eastAsia" w:ascii="仿宋" w:hAnsi="仿宋" w:eastAsia="仿宋" w:cs="仿宋"/>
          <w:szCs w:val="21"/>
          <w:lang w:val="sv-SE"/>
        </w:rPr>
      </w:pPr>
      <w:r>
        <w:rPr>
          <w:rFonts w:hint="eastAsia" w:ascii="仿宋" w:hAnsi="仿宋" w:eastAsia="仿宋" w:cs="仿宋"/>
          <w:szCs w:val="21"/>
          <w:lang w:val="sv-SE"/>
        </w:rPr>
        <w:t>协助起草单位：上海伽誉生物科技有限公司、云南英格生物技术有限公司、上海植纳生物科技有限公司、天津尚美化妆品有限公司、天津海关工业产品安全技术中心</w:t>
      </w:r>
    </w:p>
    <w:p w14:paraId="6BEAD8A0">
      <w:pPr>
        <w:ind w:firstLine="480"/>
        <w:rPr>
          <w:rFonts w:hint="eastAsia" w:ascii="仿宋" w:hAnsi="仿宋" w:eastAsia="仿宋" w:cs="仿宋"/>
          <w:szCs w:val="21"/>
          <w:lang w:val="sv-SE"/>
        </w:rPr>
      </w:pPr>
      <w:r>
        <w:rPr>
          <w:rFonts w:hint="eastAsia" w:ascii="仿宋" w:hAnsi="仿宋" w:eastAsia="仿宋" w:cs="仿宋"/>
          <w:szCs w:val="21"/>
          <w:lang w:val="sv-SE"/>
        </w:rPr>
        <w:t>主要起草成员：</w:t>
      </w:r>
      <w:bookmarkStart w:id="3" w:name="_Hlk144807385"/>
      <w:r>
        <w:rPr>
          <w:rFonts w:hint="eastAsia" w:ascii="仿宋" w:hAnsi="仿宋" w:eastAsia="仿宋" w:cs="仿宋"/>
          <w:szCs w:val="21"/>
          <w:lang w:val="sv-SE"/>
        </w:rPr>
        <w:t>吕智、顾洁、程康、吴莹、刘睿敏</w:t>
      </w:r>
      <w:bookmarkEnd w:id="3"/>
      <w:r>
        <w:rPr>
          <w:rFonts w:hint="eastAsia" w:ascii="仿宋" w:hAnsi="仿宋" w:eastAsia="仿宋" w:cs="仿宋"/>
          <w:szCs w:val="21"/>
          <w:lang w:val="sv-SE"/>
        </w:rPr>
        <w:t>、项光刚、黄灿、李从严、翟春涛、</w:t>
      </w:r>
      <w:bookmarkStart w:id="4" w:name="_Hlk144813005"/>
      <w:r>
        <w:rPr>
          <w:rFonts w:hint="eastAsia" w:ascii="仿宋" w:hAnsi="仿宋" w:eastAsia="仿宋" w:cs="仿宋"/>
          <w:szCs w:val="21"/>
          <w:lang w:val="sv-SE"/>
        </w:rPr>
        <w:t>王鹏、张晗</w:t>
      </w:r>
      <w:bookmarkEnd w:id="4"/>
      <w:r>
        <w:rPr>
          <w:rFonts w:hint="eastAsia" w:ascii="仿宋" w:hAnsi="仿宋" w:eastAsia="仿宋" w:cs="仿宋"/>
          <w:szCs w:val="21"/>
          <w:lang w:val="sv-SE"/>
        </w:rPr>
        <w:t>、左玥华、王晨光</w:t>
      </w:r>
    </w:p>
    <w:p w14:paraId="2B856E22">
      <w:pPr>
        <w:pStyle w:val="4"/>
        <w:rPr>
          <w:rFonts w:hint="eastAsia" w:ascii="华文中宋" w:hAnsi="华文中宋" w:eastAsia="华文中宋" w:cs="华文中宋"/>
          <w:lang w:val="sv-SE"/>
        </w:rPr>
      </w:pPr>
      <w:r>
        <w:rPr>
          <w:rFonts w:hint="eastAsia" w:ascii="华文中宋" w:hAnsi="华文中宋" w:eastAsia="华文中宋" w:cs="华文中宋"/>
          <w:lang w:val="sv-SE"/>
        </w:rPr>
        <w:t>4. 主要工作过程</w:t>
      </w:r>
    </w:p>
    <w:p w14:paraId="38DED981">
      <w:pPr>
        <w:ind w:firstLine="480"/>
        <w:rPr>
          <w:rFonts w:hint="eastAsia" w:ascii="仿宋" w:hAnsi="仿宋" w:eastAsia="仿宋" w:cs="仿宋"/>
          <w:szCs w:val="21"/>
          <w:lang w:val="sv-SE"/>
        </w:rPr>
      </w:pPr>
      <w:r>
        <w:rPr>
          <w:rFonts w:hint="eastAsia" w:ascii="仿宋" w:hAnsi="仿宋" w:eastAsia="仿宋" w:cs="仿宋"/>
          <w:szCs w:val="21"/>
          <w:lang w:val="sv-SE"/>
        </w:rPr>
        <w:t>2021年2月，上海相宜本草化妆品股份有限公司作为立项申请人向中国香料香精化妆品工业协会提出《化妆品原料 龙胆提取物》团体标准立项提案。</w:t>
      </w:r>
    </w:p>
    <w:p w14:paraId="584B0AD2">
      <w:pPr>
        <w:ind w:firstLine="480"/>
        <w:rPr>
          <w:rFonts w:hint="eastAsia" w:ascii="仿宋" w:hAnsi="仿宋" w:eastAsia="仿宋" w:cs="仿宋"/>
          <w:szCs w:val="21"/>
          <w:lang w:val="sv-SE"/>
        </w:rPr>
      </w:pPr>
      <w:r>
        <w:rPr>
          <w:rFonts w:hint="eastAsia" w:ascii="仿宋" w:hAnsi="仿宋" w:eastAsia="仿宋" w:cs="仿宋"/>
          <w:szCs w:val="21"/>
          <w:lang w:val="sv-SE"/>
        </w:rPr>
        <w:t>2021年7月8日，经中国香料香精化妆品工业协会初审并征求行业专家立项论证和审核，《化妆品原料 龙胆提取物》团体标准正式获批立项，并在协会官方网站进行了为期15日的公示。</w:t>
      </w:r>
    </w:p>
    <w:p w14:paraId="51EAF5C7">
      <w:pPr>
        <w:ind w:firstLine="480"/>
        <w:rPr>
          <w:rFonts w:hint="eastAsia" w:ascii="仿宋" w:hAnsi="仿宋" w:eastAsia="仿宋" w:cs="仿宋"/>
          <w:szCs w:val="21"/>
          <w:lang w:val="sv-SE"/>
        </w:rPr>
      </w:pPr>
      <w:r>
        <w:rPr>
          <w:rFonts w:hint="eastAsia" w:ascii="仿宋" w:hAnsi="仿宋" w:eastAsia="仿宋" w:cs="仿宋"/>
          <w:szCs w:val="21"/>
          <w:lang w:val="sv-SE"/>
        </w:rPr>
        <w:t>本标准由上海相宜本草化妆品股份有限公司主持起草，上海伽誉生物科技有限公司、云南英格生物技术有限公司、上海植纳生物科技有限公司、天津尚美化妆品有限公司协作起草和复核。</w:t>
      </w:r>
    </w:p>
    <w:p w14:paraId="3DE3A4D1">
      <w:pPr>
        <w:ind w:firstLine="480"/>
        <w:rPr>
          <w:rFonts w:hint="eastAsia" w:ascii="仿宋" w:hAnsi="仿宋" w:eastAsia="仿宋" w:cs="仿宋"/>
          <w:szCs w:val="21"/>
          <w:lang w:val="sv-SE"/>
        </w:rPr>
      </w:pPr>
      <w:r>
        <w:rPr>
          <w:rFonts w:hint="eastAsia" w:ascii="仿宋" w:hAnsi="仿宋" w:eastAsia="仿宋" w:cs="仿宋"/>
          <w:szCs w:val="21"/>
          <w:lang w:val="sv-SE"/>
        </w:rPr>
        <w:t>本标准起草过程中对市场上的产品进行收集，根据目前化妆品用原料的国内外相关标准要求，通过试验条件的摸索、方法建设及验证工作，确定该标准的检验方法和技术指标。并请上海华测品标检测技术有限公司进行了复核，复核结果也显示检验方法和技术指标具有可行性。</w:t>
      </w:r>
    </w:p>
    <w:p w14:paraId="6136B160">
      <w:pPr>
        <w:ind w:firstLine="480"/>
        <w:rPr>
          <w:rFonts w:hint="eastAsia" w:ascii="仿宋" w:hAnsi="仿宋" w:eastAsia="仿宋" w:cs="仿宋"/>
          <w:szCs w:val="21"/>
          <w:lang w:val="sv-SE"/>
        </w:rPr>
      </w:pPr>
      <w:r>
        <w:rPr>
          <w:rFonts w:hint="eastAsia" w:ascii="仿宋" w:hAnsi="仿宋" w:eastAsia="仿宋" w:cs="仿宋"/>
          <w:szCs w:val="21"/>
          <w:lang w:val="sv-SE"/>
        </w:rPr>
        <w:t>目前起草工作组确定该标准的基本框架，包括：化妆品用原料龙胆提取物的要求、试验方法、检验规则以及包装、标志、运输和贮存、保质期等内容，形成标准草案的基本框架，于2023年11月完成征求意见稿。</w:t>
      </w:r>
    </w:p>
    <w:p w14:paraId="0A3FACB6">
      <w:pPr>
        <w:pStyle w:val="3"/>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二、与我国有关法律法规和其他标准的关系</w:t>
      </w:r>
    </w:p>
    <w:p w14:paraId="47D166C2">
      <w:pPr>
        <w:ind w:firstLine="480"/>
        <w:rPr>
          <w:rFonts w:hint="eastAsia" w:ascii="仿宋" w:hAnsi="仿宋" w:eastAsia="仿宋" w:cs="仿宋"/>
          <w:lang w:val="sv-SE"/>
        </w:rPr>
      </w:pPr>
      <w:r>
        <w:rPr>
          <w:rFonts w:hint="eastAsia" w:ascii="仿宋" w:hAnsi="仿宋" w:eastAsia="仿宋" w:cs="仿宋"/>
          <w:lang w:val="sv-SE"/>
        </w:rPr>
        <w:t>目前，龙胆提取物的原料标准除企业标准外，还没有公开的国家标准、行业标准或团体标准。本标准指标参照《中华人民共和国药典》2020年版和《化妆品安全技术规范》2015年版，结合行业其他化妆品原料标准进行编制。</w:t>
      </w:r>
    </w:p>
    <w:p w14:paraId="475FF37F">
      <w:pPr>
        <w:pStyle w:val="3"/>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三、国外有关法律、法规和标准情况额说明</w:t>
      </w:r>
    </w:p>
    <w:p w14:paraId="470D32DE">
      <w:pPr>
        <w:ind w:firstLine="480"/>
        <w:rPr>
          <w:rFonts w:hint="eastAsia" w:ascii="仿宋" w:hAnsi="仿宋" w:eastAsia="仿宋" w:cs="仿宋"/>
          <w:lang w:val="sv-SE"/>
        </w:rPr>
      </w:pPr>
      <w:r>
        <w:rPr>
          <w:rFonts w:hint="eastAsia" w:ascii="仿宋" w:hAnsi="仿宋" w:eastAsia="仿宋" w:cs="仿宋"/>
          <w:lang w:val="sv-SE"/>
        </w:rPr>
        <w:t>目前，龙胆提取物的原料国外没有公开的标准。</w:t>
      </w:r>
    </w:p>
    <w:p w14:paraId="60653F6B">
      <w:pPr>
        <w:pStyle w:val="3"/>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四、标准的制（修）订与起草原则</w:t>
      </w:r>
    </w:p>
    <w:p w14:paraId="273EE4BB">
      <w:pPr>
        <w:ind w:firstLine="480"/>
        <w:rPr>
          <w:rFonts w:hint="eastAsia" w:ascii="仿宋" w:hAnsi="仿宋" w:eastAsia="仿宋" w:cs="仿宋"/>
          <w:lang w:val="sv-SE"/>
        </w:rPr>
      </w:pPr>
      <w:r>
        <w:rPr>
          <w:rFonts w:hint="eastAsia" w:ascii="仿宋" w:hAnsi="仿宋" w:eastAsia="仿宋" w:cs="仿宋"/>
          <w:lang w:val="sv-SE"/>
        </w:rPr>
        <w:t>本标准的制定符合产业发展的原则，本着先进性、科学性、合理性和可操作性的原则以及标准的目标、统一性、协调性、适用性、一致性和规范性原则来进行本标准的制定工作。</w:t>
      </w:r>
    </w:p>
    <w:p w14:paraId="32D9B340">
      <w:pPr>
        <w:ind w:firstLine="480"/>
        <w:rPr>
          <w:rFonts w:hint="eastAsia" w:ascii="仿宋" w:hAnsi="仿宋" w:eastAsia="仿宋" w:cs="仿宋"/>
          <w:lang w:val="sv-SE"/>
        </w:rPr>
      </w:pPr>
      <w:r>
        <w:rPr>
          <w:rFonts w:hint="eastAsia" w:ascii="仿宋" w:hAnsi="仿宋" w:eastAsia="仿宋" w:cs="仿宋"/>
          <w:lang w:val="sv-SE"/>
        </w:rPr>
        <w:t>本标准起草过程中，主要依据《GB/T 1.1—2020《标准化工作导则 第1部分:标准化文件的结构和起草规则》进行编写。本标准制定过程中，主要参考了以下标准或文件：</w:t>
      </w:r>
    </w:p>
    <w:p w14:paraId="64BE6581">
      <w:pPr>
        <w:ind w:firstLine="480"/>
        <w:rPr>
          <w:rFonts w:hint="eastAsia" w:ascii="仿宋" w:hAnsi="仿宋" w:eastAsia="仿宋" w:cs="仿宋"/>
          <w:lang w:val="sv-SE"/>
        </w:rPr>
      </w:pPr>
      <w:bookmarkStart w:id="5" w:name="_Hlk144807651"/>
      <w:r>
        <w:rPr>
          <w:rFonts w:hint="eastAsia" w:ascii="仿宋" w:hAnsi="仿宋" w:eastAsia="仿宋" w:cs="仿宋"/>
          <w:lang w:val="sv-SE"/>
        </w:rPr>
        <w:t>GB/T 191 包装储运图示标志</w:t>
      </w:r>
    </w:p>
    <w:p w14:paraId="7748FC19">
      <w:pPr>
        <w:ind w:firstLine="480"/>
        <w:rPr>
          <w:rFonts w:hint="eastAsia" w:ascii="仿宋" w:hAnsi="仿宋" w:eastAsia="仿宋" w:cs="仿宋"/>
          <w:lang w:val="sv-SE"/>
        </w:rPr>
      </w:pPr>
      <w:r>
        <w:rPr>
          <w:rFonts w:hint="eastAsia" w:ascii="仿宋" w:hAnsi="仿宋" w:eastAsia="仿宋" w:cs="仿宋"/>
          <w:lang w:val="sv-SE"/>
        </w:rPr>
        <w:t>GB/T 6678 化工产品采样总则</w:t>
      </w:r>
    </w:p>
    <w:p w14:paraId="45FC3D0C">
      <w:pPr>
        <w:ind w:firstLine="480"/>
        <w:rPr>
          <w:rFonts w:hint="eastAsia" w:ascii="仿宋" w:hAnsi="仿宋" w:eastAsia="仿宋" w:cs="仿宋"/>
          <w:lang w:val="sv-SE"/>
        </w:rPr>
      </w:pPr>
      <w:r>
        <w:rPr>
          <w:rFonts w:hint="eastAsia" w:ascii="仿宋" w:hAnsi="仿宋" w:eastAsia="仿宋" w:cs="仿宋"/>
          <w:lang w:val="sv-SE"/>
        </w:rPr>
        <w:t>GB/T 6680 液体化工产品采样通则</w:t>
      </w:r>
    </w:p>
    <w:p w14:paraId="78BED9D6">
      <w:pPr>
        <w:ind w:firstLine="480"/>
        <w:rPr>
          <w:rFonts w:hint="eastAsia" w:ascii="仿宋" w:hAnsi="仿宋" w:eastAsia="仿宋" w:cs="仿宋"/>
          <w:lang w:val="sv-SE"/>
        </w:rPr>
      </w:pPr>
      <w:r>
        <w:rPr>
          <w:rFonts w:hint="eastAsia" w:ascii="仿宋" w:hAnsi="仿宋" w:eastAsia="仿宋" w:cs="仿宋"/>
          <w:lang w:val="sv-SE"/>
        </w:rPr>
        <w:t>GB/T 8170 数值修约规则与极限数值的表示和判定</w:t>
      </w:r>
    </w:p>
    <w:p w14:paraId="4CB7D6D6">
      <w:pPr>
        <w:ind w:firstLine="480"/>
        <w:rPr>
          <w:rFonts w:hint="eastAsia" w:ascii="仿宋" w:hAnsi="仿宋" w:eastAsia="仿宋" w:cs="仿宋"/>
          <w:lang w:val="sv-SE"/>
        </w:rPr>
      </w:pPr>
      <w:r>
        <w:rPr>
          <w:rFonts w:hint="eastAsia" w:ascii="仿宋" w:hAnsi="仿宋" w:eastAsia="仿宋" w:cs="仿宋"/>
          <w:lang w:val="sv-SE"/>
        </w:rPr>
        <w:t>化妆品安全技术规范（2015年版）（国家食品药品监督管理总局公告 2015 年第268号）</w:t>
      </w:r>
    </w:p>
    <w:p w14:paraId="43B99F64">
      <w:pPr>
        <w:ind w:firstLine="480"/>
        <w:rPr>
          <w:rFonts w:hint="eastAsia" w:ascii="仿宋" w:hAnsi="仿宋" w:eastAsia="仿宋" w:cs="仿宋"/>
          <w:lang w:val="sv-SE"/>
        </w:rPr>
      </w:pPr>
      <w:r>
        <w:rPr>
          <w:rFonts w:hint="eastAsia" w:ascii="仿宋" w:hAnsi="仿宋" w:eastAsia="仿宋" w:cs="仿宋"/>
          <w:lang w:val="sv-SE"/>
        </w:rPr>
        <w:t>《中华人民共和国药典》（2020年版）</w:t>
      </w:r>
    </w:p>
    <w:bookmarkEnd w:id="5"/>
    <w:p w14:paraId="43249C64">
      <w:pPr>
        <w:pStyle w:val="3"/>
        <w:rPr>
          <w:rFonts w:hint="eastAsia" w:ascii="华文中宋" w:hAnsi="华文中宋" w:eastAsia="华文中宋" w:cs="华文中宋"/>
          <w:b w:val="0"/>
          <w:bCs w:val="0"/>
          <w:lang w:val="sv-SE"/>
        </w:rPr>
      </w:pPr>
      <w:r>
        <w:rPr>
          <w:rFonts w:hint="eastAsia" w:ascii="华文中宋" w:hAnsi="华文中宋" w:eastAsia="华文中宋" w:cs="华文中宋"/>
          <w:b w:val="0"/>
          <w:bCs w:val="0"/>
          <w:lang w:val="sv-SE"/>
        </w:rPr>
        <w:t>五、确定各项技术内容（如技术指标、参数、公式、试验方法、检验规则等）的依据（与国际相关标准的对比情况，与国际标准不一致的，应当提供科学依据）</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8"/>
        <w:gridCol w:w="1969"/>
        <w:gridCol w:w="3409"/>
        <w:gridCol w:w="1870"/>
      </w:tblGrid>
      <w:tr w14:paraId="7AAC3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Align w:val="center"/>
          </w:tcPr>
          <w:p w14:paraId="6E9072BB">
            <w:pPr>
              <w:snapToGrid w:val="0"/>
              <w:ind w:firstLine="0" w:firstLineChars="0"/>
              <w:jc w:val="center"/>
              <w:rPr>
                <w:rFonts w:hint="eastAsia" w:ascii="仿宋" w:hAnsi="仿宋" w:eastAsia="仿宋" w:cs="仿宋"/>
                <w:sz w:val="18"/>
                <w:szCs w:val="18"/>
              </w:rPr>
            </w:pPr>
            <w:r>
              <w:rPr>
                <w:rFonts w:hint="eastAsia" w:ascii="仿宋" w:hAnsi="仿宋" w:eastAsia="仿宋" w:cs="仿宋"/>
                <w:sz w:val="18"/>
                <w:szCs w:val="18"/>
              </w:rPr>
              <w:t>指标</w:t>
            </w:r>
          </w:p>
        </w:tc>
        <w:tc>
          <w:tcPr>
            <w:tcW w:w="1969" w:type="dxa"/>
            <w:vAlign w:val="center"/>
          </w:tcPr>
          <w:p w14:paraId="368E57EF">
            <w:pPr>
              <w:snapToGrid w:val="0"/>
              <w:ind w:firstLine="0" w:firstLineChars="0"/>
              <w:jc w:val="center"/>
              <w:rPr>
                <w:rFonts w:hint="eastAsia" w:ascii="仿宋" w:hAnsi="仿宋" w:eastAsia="仿宋" w:cs="仿宋"/>
                <w:sz w:val="18"/>
                <w:szCs w:val="18"/>
              </w:rPr>
            </w:pPr>
            <w:r>
              <w:rPr>
                <w:rFonts w:hint="eastAsia" w:ascii="仿宋" w:hAnsi="仿宋" w:eastAsia="仿宋" w:cs="仿宋"/>
                <w:sz w:val="18"/>
                <w:szCs w:val="18"/>
              </w:rPr>
              <w:t>本标准要求</w:t>
            </w:r>
          </w:p>
        </w:tc>
        <w:tc>
          <w:tcPr>
            <w:tcW w:w="3409" w:type="dxa"/>
            <w:vAlign w:val="center"/>
          </w:tcPr>
          <w:p w14:paraId="0DD04A2A">
            <w:pPr>
              <w:snapToGrid w:val="0"/>
              <w:ind w:firstLine="0" w:firstLineChars="0"/>
              <w:jc w:val="center"/>
              <w:rPr>
                <w:rFonts w:hint="eastAsia" w:ascii="仿宋" w:hAnsi="仿宋" w:eastAsia="仿宋" w:cs="仿宋"/>
                <w:sz w:val="18"/>
                <w:szCs w:val="18"/>
              </w:rPr>
            </w:pPr>
            <w:r>
              <w:rPr>
                <w:rFonts w:hint="eastAsia" w:ascii="仿宋" w:hAnsi="仿宋" w:eastAsia="仿宋" w:cs="仿宋"/>
                <w:sz w:val="18"/>
                <w:szCs w:val="18"/>
              </w:rPr>
              <w:t>指标制定依据</w:t>
            </w:r>
          </w:p>
        </w:tc>
        <w:tc>
          <w:tcPr>
            <w:tcW w:w="1870" w:type="dxa"/>
            <w:vAlign w:val="center"/>
          </w:tcPr>
          <w:p w14:paraId="0AB9D4AC">
            <w:pPr>
              <w:snapToGrid w:val="0"/>
              <w:ind w:firstLine="0" w:firstLineChars="0"/>
              <w:jc w:val="center"/>
              <w:rPr>
                <w:rFonts w:hint="eastAsia" w:ascii="仿宋" w:hAnsi="仿宋" w:eastAsia="仿宋" w:cs="仿宋"/>
                <w:sz w:val="18"/>
                <w:szCs w:val="18"/>
              </w:rPr>
            </w:pPr>
            <w:r>
              <w:rPr>
                <w:rFonts w:hint="eastAsia" w:ascii="仿宋" w:hAnsi="仿宋" w:eastAsia="仿宋" w:cs="仿宋"/>
                <w:sz w:val="18"/>
                <w:szCs w:val="18"/>
              </w:rPr>
              <w:t>依据名称</w:t>
            </w:r>
          </w:p>
        </w:tc>
      </w:tr>
      <w:tr w14:paraId="5FFA30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Align w:val="center"/>
          </w:tcPr>
          <w:p w14:paraId="3B570EA1">
            <w:pPr>
              <w:snapToGrid w:val="0"/>
              <w:ind w:firstLine="0" w:firstLineChars="0"/>
              <w:rPr>
                <w:rFonts w:hint="eastAsia" w:ascii="仿宋" w:hAnsi="仿宋" w:eastAsia="仿宋" w:cs="仿宋"/>
                <w:sz w:val="18"/>
                <w:szCs w:val="18"/>
              </w:rPr>
            </w:pPr>
            <w:r>
              <w:rPr>
                <w:rFonts w:hint="eastAsia" w:ascii="仿宋" w:hAnsi="仿宋" w:eastAsia="仿宋" w:cs="仿宋"/>
                <w:sz w:val="18"/>
                <w:szCs w:val="18"/>
              </w:rPr>
              <w:t>感官指标</w:t>
            </w:r>
          </w:p>
        </w:tc>
        <w:tc>
          <w:tcPr>
            <w:tcW w:w="1969" w:type="dxa"/>
            <w:vAlign w:val="center"/>
          </w:tcPr>
          <w:p w14:paraId="15D8F9DA">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性状：</w:t>
            </w:r>
            <w:r>
              <w:rPr>
                <w:rFonts w:hint="eastAsia" w:ascii="仿宋" w:hAnsi="仿宋" w:eastAsia="仿宋" w:cs="仿宋"/>
                <w:sz w:val="18"/>
                <w:szCs w:val="18"/>
                <w:shd w:val="clear" w:color="auto" w:fill="FFFFFF"/>
              </w:rPr>
              <w:t>黄色至深棕色透明液体,有特征性气味</w:t>
            </w:r>
          </w:p>
        </w:tc>
        <w:tc>
          <w:tcPr>
            <w:tcW w:w="3409" w:type="dxa"/>
            <w:vAlign w:val="center"/>
          </w:tcPr>
          <w:p w14:paraId="3FF5DEFC">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外观性状是对色泽和外表感观的规定，根据本品的理化特性制定本指标。</w:t>
            </w:r>
          </w:p>
        </w:tc>
        <w:tc>
          <w:tcPr>
            <w:tcW w:w="1870" w:type="dxa"/>
            <w:vAlign w:val="center"/>
          </w:tcPr>
          <w:p w14:paraId="56784BA1">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《中国药典》一部 凡例 二十</w:t>
            </w:r>
          </w:p>
        </w:tc>
      </w:tr>
      <w:tr w14:paraId="1BB12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restart"/>
            <w:vAlign w:val="center"/>
          </w:tcPr>
          <w:p w14:paraId="5BD58F11">
            <w:pPr>
              <w:snapToGrid w:val="0"/>
              <w:ind w:firstLine="0" w:firstLineChars="0"/>
              <w:rPr>
                <w:rFonts w:hint="eastAsia" w:ascii="仿宋" w:hAnsi="仿宋" w:eastAsia="仿宋" w:cs="仿宋"/>
                <w:sz w:val="18"/>
                <w:szCs w:val="18"/>
              </w:rPr>
            </w:pPr>
            <w:r>
              <w:rPr>
                <w:rFonts w:hint="eastAsia" w:ascii="仿宋" w:hAnsi="仿宋" w:eastAsia="仿宋" w:cs="仿宋"/>
                <w:sz w:val="18"/>
                <w:szCs w:val="18"/>
              </w:rPr>
              <w:t>理化指标</w:t>
            </w:r>
          </w:p>
        </w:tc>
        <w:tc>
          <w:tcPr>
            <w:tcW w:w="1969" w:type="dxa"/>
            <w:vAlign w:val="center"/>
          </w:tcPr>
          <w:p w14:paraId="2ADE6B73">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密度（g/cm</w:t>
            </w:r>
            <w:r>
              <w:rPr>
                <w:rFonts w:hint="eastAsia" w:ascii="仿宋" w:hAnsi="仿宋" w:eastAsia="仿宋" w:cs="仿宋"/>
                <w:sz w:val="18"/>
                <w:szCs w:val="18"/>
                <w:vertAlign w:val="superscript"/>
              </w:rPr>
              <w:t>3</w:t>
            </w:r>
            <w:r>
              <w:rPr>
                <w:rFonts w:hint="eastAsia" w:ascii="仿宋" w:hAnsi="仿宋" w:eastAsia="仿宋" w:cs="仿宋"/>
                <w:sz w:val="18"/>
                <w:szCs w:val="18"/>
              </w:rPr>
              <w:t>）：0.9510-1.1600</w:t>
            </w:r>
          </w:p>
        </w:tc>
        <w:tc>
          <w:tcPr>
            <w:tcW w:w="3409" w:type="dxa"/>
            <w:vAlign w:val="center"/>
          </w:tcPr>
          <w:p w14:paraId="31CCE050">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密度是指在规定温度（20℃）下，单位体积所含物质的质量数，纯物质的相对密度在特定条件下为不变的常数，可用以检查供试品的纯杂程度。</w:t>
            </w:r>
          </w:p>
        </w:tc>
        <w:tc>
          <w:tcPr>
            <w:tcW w:w="1870" w:type="dxa"/>
            <w:vAlign w:val="center"/>
          </w:tcPr>
          <w:p w14:paraId="1BC6261F">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《中国药典》四部 通则0601 相对密度测定法</w:t>
            </w:r>
          </w:p>
        </w:tc>
      </w:tr>
      <w:tr w14:paraId="56A7D2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76BA8BBC">
            <w:pPr>
              <w:snapToGrid w:val="0"/>
              <w:ind w:firstLine="0" w:firstLineChars="0"/>
              <w:rPr>
                <w:rFonts w:hint="eastAsia" w:ascii="仿宋" w:hAnsi="仿宋" w:eastAsia="仿宋" w:cs="仿宋"/>
                <w:sz w:val="18"/>
                <w:szCs w:val="18"/>
              </w:rPr>
            </w:pPr>
          </w:p>
        </w:tc>
        <w:tc>
          <w:tcPr>
            <w:tcW w:w="1969" w:type="dxa"/>
            <w:vAlign w:val="center"/>
          </w:tcPr>
          <w:p w14:paraId="6D8F98B1">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折光率：1.3500-1.4500</w:t>
            </w:r>
          </w:p>
        </w:tc>
        <w:tc>
          <w:tcPr>
            <w:tcW w:w="3409" w:type="dxa"/>
            <w:vAlign w:val="center"/>
          </w:tcPr>
          <w:p w14:paraId="38E19FA2">
            <w:pPr>
              <w:ind w:firstLine="0" w:firstLineChars="0"/>
              <w:rPr>
                <w:rFonts w:hint="eastAsia" w:ascii="仿宋" w:hAnsi="仿宋" w:eastAsia="仿宋" w:cs="仿宋"/>
                <w:sz w:val="18"/>
                <w:szCs w:val="18"/>
              </w:rPr>
            </w:pPr>
            <w:r>
              <w:rPr>
                <w:rFonts w:hint="eastAsia" w:ascii="仿宋" w:hAnsi="仿宋" w:eastAsia="仿宋" w:cs="仿宋"/>
                <w:sz w:val="18"/>
                <w:szCs w:val="18"/>
              </w:rPr>
              <w:t>折光率指光线在空气中进行的速度与在供试品中进行速度的比值，可用以检查供试品的纯杂程度。</w:t>
            </w:r>
          </w:p>
        </w:tc>
        <w:tc>
          <w:tcPr>
            <w:tcW w:w="1870" w:type="dxa"/>
            <w:vAlign w:val="center"/>
          </w:tcPr>
          <w:p w14:paraId="42B5E1E4">
            <w:pPr>
              <w:ind w:firstLine="0" w:firstLineChars="0"/>
              <w:rPr>
                <w:rFonts w:hint="eastAsia" w:ascii="仿宋" w:hAnsi="仿宋" w:eastAsia="仿宋" w:cs="仿宋"/>
                <w:sz w:val="18"/>
                <w:szCs w:val="18"/>
              </w:rPr>
            </w:pPr>
            <w:r>
              <w:rPr>
                <w:rFonts w:hint="eastAsia" w:ascii="仿宋" w:hAnsi="仿宋" w:eastAsia="仿宋" w:cs="仿宋"/>
                <w:sz w:val="18"/>
                <w:szCs w:val="18"/>
              </w:rPr>
              <w:t>《中国药典》四部 通则0622折光率测定法</w:t>
            </w:r>
          </w:p>
        </w:tc>
      </w:tr>
      <w:tr w14:paraId="459910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7F331278">
            <w:pPr>
              <w:snapToGrid w:val="0"/>
              <w:ind w:firstLine="0" w:firstLineChars="0"/>
              <w:rPr>
                <w:rFonts w:hint="eastAsia" w:ascii="仿宋" w:hAnsi="仿宋" w:eastAsia="仿宋" w:cs="仿宋"/>
                <w:sz w:val="18"/>
                <w:szCs w:val="18"/>
              </w:rPr>
            </w:pPr>
          </w:p>
        </w:tc>
        <w:tc>
          <w:tcPr>
            <w:tcW w:w="1969" w:type="dxa"/>
            <w:vAlign w:val="center"/>
          </w:tcPr>
          <w:p w14:paraId="65587130">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pH值</w:t>
            </w:r>
            <w:r>
              <w:rPr>
                <w:rFonts w:hint="eastAsia" w:ascii="仿宋" w:hAnsi="仿宋" w:eastAsia="仿宋" w:cs="仿宋"/>
                <w:bCs/>
                <w:sz w:val="18"/>
                <w:szCs w:val="18"/>
              </w:rPr>
              <w:t>(水溶液）</w:t>
            </w:r>
            <w:r>
              <w:rPr>
                <w:rFonts w:hint="eastAsia" w:ascii="仿宋" w:hAnsi="仿宋" w:eastAsia="仿宋" w:cs="仿宋"/>
                <w:sz w:val="18"/>
                <w:szCs w:val="18"/>
              </w:rPr>
              <w:t>：3.5-6.8</w:t>
            </w:r>
          </w:p>
        </w:tc>
        <w:tc>
          <w:tcPr>
            <w:tcW w:w="3409" w:type="dxa"/>
            <w:vAlign w:val="center"/>
          </w:tcPr>
          <w:p w14:paraId="0CFB3859">
            <w:pPr>
              <w:ind w:firstLine="0" w:firstLineChars="0"/>
              <w:rPr>
                <w:rFonts w:hint="eastAsia" w:ascii="仿宋" w:hAnsi="仿宋" w:eastAsia="仿宋" w:cs="仿宋"/>
                <w:sz w:val="18"/>
                <w:szCs w:val="18"/>
              </w:rPr>
            </w:pPr>
            <w:r>
              <w:rPr>
                <w:rFonts w:hint="eastAsia" w:ascii="仿宋" w:hAnsi="仿宋" w:eastAsia="仿宋" w:cs="仿宋"/>
                <w:sz w:val="18"/>
                <w:szCs w:val="18"/>
              </w:rPr>
              <w:t>pH值是衡量一种物质在水溶液中的酸碱性的指标，根据本品的理化特性制定本指标。</w:t>
            </w:r>
          </w:p>
        </w:tc>
        <w:tc>
          <w:tcPr>
            <w:tcW w:w="1870" w:type="dxa"/>
            <w:vAlign w:val="center"/>
          </w:tcPr>
          <w:p w14:paraId="1CAD761E">
            <w:pPr>
              <w:ind w:firstLine="0" w:firstLineChars="0"/>
              <w:rPr>
                <w:rFonts w:hint="eastAsia" w:ascii="仿宋" w:hAnsi="仿宋" w:eastAsia="仿宋" w:cs="仿宋"/>
                <w:sz w:val="18"/>
                <w:szCs w:val="18"/>
              </w:rPr>
            </w:pPr>
            <w:r>
              <w:rPr>
                <w:rFonts w:hint="eastAsia" w:ascii="仿宋" w:hAnsi="仿宋" w:eastAsia="仿宋" w:cs="仿宋"/>
                <w:sz w:val="18"/>
                <w:szCs w:val="18"/>
              </w:rPr>
              <w:t>《中国药典》四部 通则0631 pH值测定法</w:t>
            </w:r>
          </w:p>
        </w:tc>
      </w:tr>
      <w:tr w14:paraId="1DEA3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1C2743C6">
            <w:pPr>
              <w:snapToGrid w:val="0"/>
              <w:ind w:firstLine="0" w:firstLineChars="0"/>
              <w:rPr>
                <w:rFonts w:hint="eastAsia" w:ascii="仿宋" w:hAnsi="仿宋" w:eastAsia="仿宋" w:cs="仿宋"/>
                <w:sz w:val="18"/>
                <w:szCs w:val="18"/>
              </w:rPr>
            </w:pPr>
          </w:p>
        </w:tc>
        <w:tc>
          <w:tcPr>
            <w:tcW w:w="1969" w:type="dxa"/>
            <w:vAlign w:val="center"/>
          </w:tcPr>
          <w:p w14:paraId="295FC398">
            <w:pPr>
              <w:ind w:left="-41" w:leftChars="-17" w:firstLine="0" w:firstLineChars="0"/>
              <w:rPr>
                <w:rFonts w:hint="eastAsia" w:ascii="仿宋" w:hAnsi="仿宋" w:eastAsia="仿宋" w:cs="仿宋"/>
                <w:sz w:val="18"/>
                <w:szCs w:val="18"/>
              </w:rPr>
            </w:pPr>
            <w:r>
              <w:rPr>
                <w:rFonts w:hint="eastAsia" w:ascii="仿宋" w:hAnsi="仿宋" w:eastAsia="仿宋" w:cs="仿宋"/>
                <w:sz w:val="18"/>
                <w:szCs w:val="18"/>
              </w:rPr>
              <w:t>龙胆苦苷含量/ mg/mL：≥1.0</w:t>
            </w:r>
          </w:p>
        </w:tc>
        <w:tc>
          <w:tcPr>
            <w:tcW w:w="3409" w:type="dxa"/>
            <w:vAlign w:val="center"/>
          </w:tcPr>
          <w:p w14:paraId="59DF6EB1">
            <w:pPr>
              <w:ind w:firstLine="0" w:firstLineChars="0"/>
              <w:rPr>
                <w:rFonts w:hint="eastAsia" w:ascii="仿宋" w:hAnsi="仿宋" w:eastAsia="仿宋" w:cs="仿宋"/>
                <w:sz w:val="18"/>
                <w:szCs w:val="18"/>
              </w:rPr>
            </w:pPr>
            <w:r>
              <w:rPr>
                <w:rFonts w:hint="eastAsia" w:ascii="仿宋" w:hAnsi="仿宋" w:eastAsia="仿宋" w:cs="仿宋"/>
                <w:sz w:val="18"/>
                <w:szCs w:val="18"/>
              </w:rPr>
              <w:t>根据行业可接受的标准制定本指标。</w:t>
            </w:r>
          </w:p>
          <w:p w14:paraId="6BA65949">
            <w:pPr>
              <w:ind w:firstLine="0" w:firstLineChars="0"/>
              <w:rPr>
                <w:rFonts w:hint="eastAsia" w:ascii="仿宋" w:hAnsi="仿宋" w:eastAsia="仿宋" w:cs="仿宋"/>
                <w:sz w:val="18"/>
                <w:szCs w:val="18"/>
              </w:rPr>
            </w:pPr>
            <w:r>
              <w:rPr>
                <w:rFonts w:hint="eastAsia" w:ascii="仿宋" w:hAnsi="仿宋" w:eastAsia="仿宋" w:cs="仿宋"/>
                <w:sz w:val="18"/>
                <w:szCs w:val="18"/>
              </w:rPr>
              <w:t>云南英格生物技术有限公司：≥1.3</w:t>
            </w:r>
          </w:p>
          <w:p w14:paraId="67BC2F51">
            <w:pPr>
              <w:ind w:firstLine="0" w:firstLineChars="0"/>
              <w:rPr>
                <w:rFonts w:hint="eastAsia" w:ascii="仿宋" w:hAnsi="仿宋" w:eastAsia="仿宋" w:cs="仿宋"/>
                <w:sz w:val="18"/>
                <w:szCs w:val="18"/>
                <w:lang w:bidi="ar"/>
              </w:rPr>
            </w:pPr>
            <w:r>
              <w:rPr>
                <w:rFonts w:hint="eastAsia" w:ascii="仿宋" w:hAnsi="仿宋" w:eastAsia="仿宋" w:cs="仿宋"/>
                <w:sz w:val="18"/>
                <w:szCs w:val="18"/>
              </w:rPr>
              <w:t>上海伽誉生物科技有限公司</w:t>
            </w:r>
            <w:r>
              <w:rPr>
                <w:rFonts w:hint="eastAsia" w:ascii="仿宋" w:hAnsi="仿宋" w:eastAsia="仿宋" w:cs="仿宋"/>
                <w:sz w:val="18"/>
                <w:szCs w:val="18"/>
                <w:lang w:bidi="ar"/>
              </w:rPr>
              <w:t>：≥1.2</w:t>
            </w:r>
          </w:p>
        </w:tc>
        <w:tc>
          <w:tcPr>
            <w:tcW w:w="1870" w:type="dxa"/>
            <w:vAlign w:val="center"/>
          </w:tcPr>
          <w:p w14:paraId="3970228C">
            <w:pPr>
              <w:ind w:firstLine="0" w:firstLineChars="0"/>
              <w:rPr>
                <w:rFonts w:hint="eastAsia" w:ascii="仿宋" w:hAnsi="仿宋" w:eastAsia="仿宋" w:cs="仿宋"/>
                <w:sz w:val="18"/>
                <w:szCs w:val="18"/>
              </w:rPr>
            </w:pPr>
            <w:r>
              <w:rPr>
                <w:rFonts w:hint="eastAsia" w:ascii="仿宋" w:hAnsi="仿宋" w:eastAsia="仿宋" w:cs="仿宋"/>
                <w:sz w:val="18"/>
                <w:szCs w:val="18"/>
              </w:rPr>
              <w:t>《中国药典》四部 通则0512 高效液相色谱仪法</w:t>
            </w:r>
          </w:p>
        </w:tc>
      </w:tr>
      <w:tr w14:paraId="48170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restart"/>
            <w:vAlign w:val="center"/>
          </w:tcPr>
          <w:p w14:paraId="3CAC7396">
            <w:pPr>
              <w:snapToGrid w:val="0"/>
              <w:ind w:firstLine="0" w:firstLineChars="0"/>
              <w:rPr>
                <w:rFonts w:hint="eastAsia" w:ascii="仿宋" w:hAnsi="仿宋" w:eastAsia="仿宋" w:cs="仿宋"/>
                <w:sz w:val="18"/>
                <w:szCs w:val="18"/>
              </w:rPr>
            </w:pPr>
            <w:r>
              <w:rPr>
                <w:rFonts w:hint="eastAsia" w:ascii="仿宋" w:hAnsi="仿宋" w:eastAsia="仿宋" w:cs="仿宋"/>
                <w:sz w:val="18"/>
                <w:szCs w:val="18"/>
              </w:rPr>
              <w:t>微生物指标</w:t>
            </w:r>
          </w:p>
        </w:tc>
        <w:tc>
          <w:tcPr>
            <w:tcW w:w="1969" w:type="dxa"/>
            <w:tcBorders>
              <w:top w:val="single" w:color="auto" w:sz="4" w:space="0"/>
              <w:left w:val="single" w:color="auto" w:sz="4" w:space="0"/>
              <w:bottom w:val="single" w:color="auto" w:sz="4" w:space="0"/>
            </w:tcBorders>
            <w:vAlign w:val="center"/>
          </w:tcPr>
          <w:p w14:paraId="3EDB1E67">
            <w:pPr>
              <w:snapToGrid w:val="0"/>
              <w:ind w:firstLine="0" w:firstLineChars="0"/>
              <w:rPr>
                <w:rFonts w:hint="eastAsia" w:ascii="仿宋" w:hAnsi="仿宋" w:eastAsia="仿宋" w:cs="仿宋"/>
                <w:kern w:val="0"/>
                <w:sz w:val="18"/>
                <w:szCs w:val="18"/>
              </w:rPr>
            </w:pPr>
            <w:r>
              <w:rPr>
                <w:rFonts w:hint="eastAsia" w:ascii="仿宋" w:hAnsi="仿宋" w:eastAsia="仿宋" w:cs="仿宋"/>
                <w:sz w:val="18"/>
                <w:szCs w:val="18"/>
              </w:rPr>
              <w:t>菌落总数/（CFU/g）：≤100</w:t>
            </w:r>
          </w:p>
        </w:tc>
        <w:tc>
          <w:tcPr>
            <w:tcW w:w="3409" w:type="dxa"/>
            <w:vAlign w:val="center"/>
          </w:tcPr>
          <w:p w14:paraId="772A383F">
            <w:pPr>
              <w:pStyle w:val="51"/>
              <w:ind w:firstLine="0" w:firstLineChars="0"/>
              <w:jc w:val="left"/>
              <w:rPr>
                <w:rFonts w:hint="eastAsia" w:ascii="仿宋" w:hAnsi="仿宋" w:eastAsia="仿宋" w:cs="仿宋"/>
                <w:kern w:val="2"/>
                <w:sz w:val="18"/>
                <w:szCs w:val="18"/>
              </w:rPr>
            </w:pPr>
            <w:r>
              <w:rPr>
                <w:rFonts w:hint="eastAsia" w:ascii="仿宋" w:hAnsi="仿宋" w:eastAsia="仿宋" w:cs="仿宋"/>
                <w:sz w:val="18"/>
                <w:szCs w:val="18"/>
              </w:rPr>
              <w:t>严于菌落总数/（CFU/g） ≤500的限值规定</w:t>
            </w:r>
          </w:p>
        </w:tc>
        <w:tc>
          <w:tcPr>
            <w:tcW w:w="1870" w:type="dxa"/>
            <w:vAlign w:val="center"/>
          </w:tcPr>
          <w:p w14:paraId="29BCB922">
            <w:pPr>
              <w:pStyle w:val="51"/>
              <w:ind w:firstLine="0" w:firstLineChars="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182100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048" w:type="dxa"/>
            <w:vMerge w:val="continue"/>
            <w:vAlign w:val="center"/>
          </w:tcPr>
          <w:p w14:paraId="361D0FF7">
            <w:pPr>
              <w:snapToGrid w:val="0"/>
              <w:ind w:firstLine="0" w:firstLineChars="0"/>
              <w:rPr>
                <w:rFonts w:hint="eastAsia" w:ascii="仿宋" w:hAnsi="仿宋" w:eastAsia="仿宋" w:cs="仿宋"/>
                <w:kern w:val="0"/>
                <w:sz w:val="18"/>
                <w:szCs w:val="18"/>
              </w:rPr>
            </w:pPr>
          </w:p>
        </w:tc>
        <w:tc>
          <w:tcPr>
            <w:tcW w:w="1969" w:type="dxa"/>
            <w:tcBorders>
              <w:top w:val="single" w:color="auto" w:sz="4" w:space="0"/>
              <w:left w:val="single" w:color="auto" w:sz="4" w:space="0"/>
              <w:bottom w:val="single" w:color="auto" w:sz="4" w:space="0"/>
            </w:tcBorders>
            <w:vAlign w:val="center"/>
          </w:tcPr>
          <w:p w14:paraId="13FA39A5">
            <w:pPr>
              <w:snapToGrid w:val="0"/>
              <w:ind w:firstLine="0" w:firstLineChars="0"/>
              <w:rPr>
                <w:rFonts w:hint="eastAsia" w:ascii="仿宋" w:hAnsi="仿宋" w:eastAsia="仿宋" w:cs="仿宋"/>
                <w:kern w:val="0"/>
                <w:sz w:val="18"/>
                <w:szCs w:val="18"/>
              </w:rPr>
            </w:pPr>
            <w:r>
              <w:rPr>
                <w:rFonts w:hint="eastAsia" w:ascii="仿宋" w:hAnsi="仿宋" w:eastAsia="仿宋" w:cs="仿宋"/>
                <w:sz w:val="18"/>
                <w:szCs w:val="18"/>
              </w:rPr>
              <w:t>霉菌和酵母菌总数/（CFU/g）：≤10</w:t>
            </w:r>
          </w:p>
        </w:tc>
        <w:tc>
          <w:tcPr>
            <w:tcW w:w="3409" w:type="dxa"/>
            <w:vAlign w:val="center"/>
          </w:tcPr>
          <w:p w14:paraId="01822A4A">
            <w:pPr>
              <w:snapToGrid w:val="0"/>
              <w:ind w:firstLine="0" w:firstLineChars="0"/>
              <w:rPr>
                <w:rFonts w:hint="eastAsia" w:ascii="仿宋" w:hAnsi="仿宋" w:eastAsia="仿宋" w:cs="仿宋"/>
                <w:sz w:val="18"/>
                <w:szCs w:val="18"/>
              </w:rPr>
            </w:pPr>
            <w:r>
              <w:rPr>
                <w:rFonts w:hint="eastAsia" w:ascii="仿宋" w:hAnsi="仿宋" w:eastAsia="仿宋" w:cs="仿宋"/>
                <w:sz w:val="18"/>
                <w:szCs w:val="18"/>
              </w:rPr>
              <w:t>严于霉菌和酵母菌总数/（CFU/g） ≤100的限值规定</w:t>
            </w:r>
          </w:p>
        </w:tc>
        <w:tc>
          <w:tcPr>
            <w:tcW w:w="1870" w:type="dxa"/>
            <w:vAlign w:val="center"/>
          </w:tcPr>
          <w:p w14:paraId="799D06F6">
            <w:pPr>
              <w:snapToGrid w:val="0"/>
              <w:ind w:firstLine="0" w:firstLineChars="0"/>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bl>
    <w:p w14:paraId="78BD508D">
      <w:pPr>
        <w:pStyle w:val="4"/>
        <w:rPr>
          <w:rFonts w:hint="eastAsia" w:ascii="华文中宋" w:hAnsi="华文中宋" w:eastAsia="华文中宋" w:cs="华文中宋"/>
        </w:rPr>
      </w:pPr>
      <w:r>
        <w:rPr>
          <w:rFonts w:hint="eastAsia" w:ascii="华文中宋" w:hAnsi="华文中宋" w:eastAsia="华文中宋" w:cs="华文中宋"/>
        </w:rPr>
        <w:t xml:space="preserve">1. </w:t>
      </w:r>
      <w:r>
        <w:rPr>
          <w:rFonts w:hint="eastAsia" w:ascii="华文中宋" w:hAnsi="华文中宋" w:eastAsia="华文中宋" w:cs="华文中宋"/>
          <w:lang w:val="it-IT"/>
        </w:rPr>
        <w:t>适用范围</w:t>
      </w:r>
    </w:p>
    <w:p w14:paraId="11C825BD">
      <w:pPr>
        <w:ind w:firstLine="480"/>
        <w:rPr>
          <w:rFonts w:hint="eastAsia" w:ascii="仿宋" w:hAnsi="仿宋" w:eastAsia="仿宋" w:cs="仿宋"/>
          <w:lang w:val="sv-SE"/>
        </w:rPr>
      </w:pPr>
      <w:r>
        <w:rPr>
          <w:rFonts w:hint="eastAsia" w:ascii="仿宋" w:hAnsi="仿宋" w:eastAsia="仿宋" w:cs="仿宋"/>
          <w:lang w:val="it-IT"/>
        </w:rPr>
        <w:t>本标准适用于以有机醇或水或二者按一定比例制成的混合液体为溶剂</w:t>
      </w:r>
      <w:r>
        <w:rPr>
          <w:rFonts w:hint="eastAsia" w:ascii="仿宋" w:hAnsi="仿宋" w:eastAsia="仿宋" w:cs="仿宋"/>
          <w:lang w:val="sv-SE"/>
        </w:rPr>
        <w:t>，</w:t>
      </w:r>
      <w:r>
        <w:rPr>
          <w:rFonts w:hint="eastAsia" w:ascii="仿宋" w:hAnsi="仿宋" w:eastAsia="仿宋" w:cs="仿宋"/>
          <w:lang w:val="it-IT"/>
        </w:rPr>
        <w:t>从龙胆科植物条叶龙胆</w:t>
      </w:r>
      <w:r>
        <w:rPr>
          <w:rFonts w:hint="eastAsia" w:ascii="仿宋" w:hAnsi="仿宋" w:eastAsia="仿宋" w:cs="仿宋"/>
          <w:lang w:val="sv-SE"/>
        </w:rPr>
        <w:t>（Gentiana manshurica Kitag.）</w:t>
      </w:r>
      <w:r>
        <w:rPr>
          <w:rFonts w:hint="eastAsia" w:ascii="仿宋" w:hAnsi="仿宋" w:eastAsia="仿宋" w:cs="仿宋"/>
          <w:lang w:val="it-IT"/>
        </w:rPr>
        <w:t>、龙胆</w:t>
      </w:r>
      <w:r>
        <w:rPr>
          <w:rFonts w:hint="eastAsia" w:ascii="仿宋" w:hAnsi="仿宋" w:eastAsia="仿宋" w:cs="仿宋"/>
          <w:lang w:val="sv-SE"/>
        </w:rPr>
        <w:t>（Gentiana scabra Bge.）</w:t>
      </w:r>
      <w:r>
        <w:rPr>
          <w:rFonts w:hint="eastAsia" w:ascii="仿宋" w:hAnsi="仿宋" w:eastAsia="仿宋" w:cs="仿宋"/>
          <w:lang w:val="it-IT"/>
        </w:rPr>
        <w:t>、三花龙胆</w:t>
      </w:r>
      <w:r>
        <w:rPr>
          <w:rFonts w:hint="eastAsia" w:ascii="仿宋" w:hAnsi="仿宋" w:eastAsia="仿宋" w:cs="仿宋"/>
          <w:lang w:val="sv-SE"/>
        </w:rPr>
        <w:t>（Gentiana triflora Pall.）</w:t>
      </w:r>
      <w:r>
        <w:rPr>
          <w:rFonts w:hint="eastAsia" w:ascii="仿宋" w:hAnsi="仿宋" w:eastAsia="仿宋" w:cs="仿宋"/>
          <w:lang w:val="it-IT"/>
        </w:rPr>
        <w:t>或坚龙胆</w:t>
      </w:r>
      <w:r>
        <w:rPr>
          <w:rFonts w:hint="eastAsia" w:ascii="仿宋" w:hAnsi="仿宋" w:eastAsia="仿宋" w:cs="仿宋"/>
          <w:lang w:val="sv-SE"/>
        </w:rPr>
        <w:t>（Gentiana rigescens Franch.）</w:t>
      </w:r>
      <w:r>
        <w:rPr>
          <w:rFonts w:hint="eastAsia" w:ascii="仿宋" w:hAnsi="仿宋" w:eastAsia="仿宋" w:cs="仿宋"/>
          <w:lang w:val="it-IT"/>
        </w:rPr>
        <w:t>的干燥根和根茎经加工制成的用于化妆品原料的</w:t>
      </w:r>
      <w:r>
        <w:rPr>
          <w:rFonts w:hint="eastAsia" w:ascii="仿宋" w:hAnsi="仿宋" w:eastAsia="仿宋" w:cs="仿宋"/>
          <w:lang w:val="sv-SE"/>
        </w:rPr>
        <w:t>龙胆</w:t>
      </w:r>
      <w:r>
        <w:rPr>
          <w:rFonts w:hint="eastAsia" w:ascii="仿宋" w:hAnsi="仿宋" w:eastAsia="仿宋" w:cs="仿宋"/>
          <w:lang w:val="it-IT"/>
        </w:rPr>
        <w:t>提取物。</w:t>
      </w:r>
    </w:p>
    <w:p w14:paraId="465C8885">
      <w:pPr>
        <w:pStyle w:val="4"/>
        <w:rPr>
          <w:rFonts w:hint="eastAsia" w:ascii="华文中宋" w:hAnsi="华文中宋" w:eastAsia="华文中宋" w:cs="华文中宋"/>
          <w:lang w:val="it-IT"/>
        </w:rPr>
      </w:pPr>
      <w:r>
        <w:rPr>
          <w:rFonts w:hint="eastAsia" w:ascii="华文中宋" w:hAnsi="华文中宋" w:eastAsia="华文中宋" w:cs="华文中宋"/>
          <w:lang w:val="it-IT"/>
        </w:rPr>
        <w:t>2. 卫生化学及微生物指标</w:t>
      </w:r>
    </w:p>
    <w:p w14:paraId="66EE2D62">
      <w:pPr>
        <w:ind w:firstLine="480"/>
        <w:rPr>
          <w:rFonts w:hint="eastAsia" w:ascii="仿宋" w:hAnsi="仿宋" w:eastAsia="仿宋" w:cs="仿宋"/>
          <w:lang w:val="it-IT"/>
        </w:rPr>
      </w:pPr>
      <w:r>
        <w:rPr>
          <w:rFonts w:hint="eastAsia" w:ascii="仿宋" w:hAnsi="仿宋" w:eastAsia="仿宋" w:cs="仿宋"/>
          <w:lang w:val="it-IT"/>
        </w:rPr>
        <w:t>化妆品原料的管理是控制化妆品产品质量的关键，行业标准对使用的原料未作规定，但目前《化妆品安全技术规范》（2015版）提出了要求。本标准规定化妆品原料的使用应同时符合《化妆品安全技术规范》（2015版）要求，使得化妆品原料的管理更加有据可依，有利于规范和指导企业选用原料，以减少产品质量问题的发生。</w:t>
      </w:r>
    </w:p>
    <w:p w14:paraId="5A4FE4FD">
      <w:pPr>
        <w:pStyle w:val="4"/>
        <w:rPr>
          <w:rFonts w:hint="eastAsia" w:ascii="华文中宋" w:hAnsi="华文中宋" w:eastAsia="华文中宋" w:cs="华文中宋"/>
          <w:lang w:val="it-IT"/>
        </w:rPr>
      </w:pPr>
      <w:r>
        <w:rPr>
          <w:rFonts w:hint="eastAsia" w:ascii="华文中宋" w:hAnsi="华文中宋" w:eastAsia="华文中宋" w:cs="华文中宋"/>
          <w:lang w:val="it-IT"/>
        </w:rPr>
        <w:t>3.</w:t>
      </w:r>
      <w:r>
        <w:rPr>
          <w:rFonts w:hint="eastAsia" w:ascii="华文中宋" w:hAnsi="华文中宋" w:eastAsia="华文中宋" w:cs="华文中宋"/>
        </w:rPr>
        <w:t>龙胆苦苷</w:t>
      </w:r>
      <w:r>
        <w:rPr>
          <w:rFonts w:hint="eastAsia" w:ascii="华文中宋" w:hAnsi="华文中宋" w:eastAsia="华文中宋" w:cs="华文中宋"/>
          <w:lang w:val="it-IT"/>
        </w:rPr>
        <w:t>含量测定</w:t>
      </w:r>
    </w:p>
    <w:p w14:paraId="46109653">
      <w:pPr>
        <w:ind w:firstLine="480"/>
        <w:rPr>
          <w:rFonts w:hint="eastAsia" w:ascii="仿宋" w:hAnsi="仿宋" w:eastAsia="仿宋" w:cs="仿宋"/>
          <w:lang w:val="it-IT"/>
        </w:rPr>
      </w:pPr>
      <w:r>
        <w:rPr>
          <w:rFonts w:hint="eastAsia" w:ascii="仿宋" w:hAnsi="仿宋" w:eastAsia="仿宋" w:cs="仿宋"/>
          <w:lang w:val="it-IT"/>
        </w:rPr>
        <w:t>本方法测定的是龙胆提取物中龙胆苦苷的含量。照高效液相色谱法（《中国药典》2020年一部)测定。</w:t>
      </w:r>
    </w:p>
    <w:p w14:paraId="0563D4E2">
      <w:pPr>
        <w:pStyle w:val="4"/>
        <w:rPr>
          <w:rFonts w:hint="eastAsia" w:ascii="华文中宋" w:hAnsi="华文中宋" w:eastAsia="华文中宋" w:cs="华文中宋"/>
        </w:rPr>
      </w:pPr>
      <w:r>
        <w:rPr>
          <w:rFonts w:hint="eastAsia" w:ascii="华文中宋" w:hAnsi="华文中宋" w:eastAsia="华文中宋" w:cs="华文中宋"/>
        </w:rPr>
        <w:t>4. 验证数据</w:t>
      </w:r>
    </w:p>
    <w:p w14:paraId="61EA96B3">
      <w:pPr>
        <w:ind w:firstLine="480"/>
        <w:rPr>
          <w:rFonts w:hint="eastAsia" w:ascii="仿宋" w:hAnsi="仿宋" w:eastAsia="仿宋" w:cs="仿宋"/>
          <w:lang w:val="it-IT"/>
        </w:rPr>
      </w:pPr>
      <w:r>
        <w:rPr>
          <w:rFonts w:hint="eastAsia" w:ascii="仿宋" w:hAnsi="仿宋" w:eastAsia="仿宋" w:cs="仿宋"/>
          <w:lang w:val="it-IT"/>
        </w:rPr>
        <w:t xml:space="preserve">目前在国内外化妆品行业中关于龙胆提取物尚无明确的质量标准规范。因此参考《中国药典》(2020年版)中对龙胆提取物的质量控制标准，也通过对从市场上收集得到龙胆原料进行分析比较，最终确定龙胆提取物中龙胆苦苷含量不得少于1.0 mg/ml。 </w:t>
      </w:r>
    </w:p>
    <w:p w14:paraId="7FA43E7E">
      <w:pPr>
        <w:pStyle w:val="8"/>
        <w:numPr>
          <w:ilvl w:val="0"/>
          <w:numId w:val="1"/>
        </w:numPr>
        <w:ind w:firstLine="0" w:firstLineChars="0"/>
        <w:rPr>
          <w:rFonts w:hint="eastAsia" w:ascii="华文中宋" w:hAnsi="华文中宋" w:eastAsia="华文中宋" w:cs="华文中宋"/>
          <w:kern w:val="44"/>
        </w:rPr>
      </w:pPr>
      <w:r>
        <w:rPr>
          <w:rFonts w:hint="eastAsia" w:ascii="华文中宋" w:hAnsi="华文中宋" w:eastAsia="华文中宋" w:cs="华文中宋"/>
          <w:kern w:val="44"/>
        </w:rPr>
        <w:t>验证数据</w:t>
      </w:r>
    </w:p>
    <w:tbl>
      <w:tblPr>
        <w:tblStyle w:val="19"/>
        <w:tblW w:w="10632"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9"/>
        <w:gridCol w:w="1211"/>
        <w:gridCol w:w="1098"/>
        <w:gridCol w:w="1098"/>
        <w:gridCol w:w="1099"/>
        <w:gridCol w:w="1098"/>
        <w:gridCol w:w="1098"/>
        <w:gridCol w:w="1099"/>
        <w:gridCol w:w="1632"/>
      </w:tblGrid>
      <w:tr w14:paraId="6F12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2" w:type="dxa"/>
            <w:gridSpan w:val="9"/>
            <w:vAlign w:val="center"/>
          </w:tcPr>
          <w:p w14:paraId="5AFE7670">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检测结果汇总</w:t>
            </w:r>
          </w:p>
        </w:tc>
      </w:tr>
      <w:tr w14:paraId="5145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vAlign w:val="center"/>
          </w:tcPr>
          <w:p w14:paraId="32F39710">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检测项目</w:t>
            </w:r>
          </w:p>
        </w:tc>
        <w:tc>
          <w:tcPr>
            <w:tcW w:w="1211" w:type="dxa"/>
            <w:vMerge w:val="restart"/>
            <w:vAlign w:val="center"/>
          </w:tcPr>
          <w:p w14:paraId="45F70AC4">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条件/单位</w:t>
            </w:r>
          </w:p>
        </w:tc>
        <w:tc>
          <w:tcPr>
            <w:tcW w:w="6590" w:type="dxa"/>
            <w:gridSpan w:val="6"/>
            <w:vAlign w:val="center"/>
          </w:tcPr>
          <w:p w14:paraId="3164E5C2">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批次</w:t>
            </w:r>
          </w:p>
        </w:tc>
        <w:tc>
          <w:tcPr>
            <w:tcW w:w="1632" w:type="dxa"/>
            <w:vMerge w:val="restart"/>
            <w:vAlign w:val="center"/>
          </w:tcPr>
          <w:p w14:paraId="06CF142E">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SPEC指标</w:t>
            </w:r>
          </w:p>
        </w:tc>
      </w:tr>
      <w:tr w14:paraId="659C1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vAlign w:val="center"/>
          </w:tcPr>
          <w:p w14:paraId="7DF7E7CF">
            <w:pPr>
              <w:ind w:firstLine="0" w:firstLineChars="0"/>
              <w:jc w:val="center"/>
              <w:rPr>
                <w:rFonts w:hint="eastAsia" w:ascii="仿宋" w:hAnsi="仿宋" w:eastAsia="仿宋" w:cs="仿宋"/>
                <w:sz w:val="18"/>
                <w:szCs w:val="18"/>
              </w:rPr>
            </w:pPr>
          </w:p>
        </w:tc>
        <w:tc>
          <w:tcPr>
            <w:tcW w:w="1211" w:type="dxa"/>
            <w:vMerge w:val="continue"/>
            <w:vAlign w:val="center"/>
          </w:tcPr>
          <w:p w14:paraId="2A84DD72">
            <w:pPr>
              <w:ind w:firstLine="0" w:firstLineChars="0"/>
              <w:jc w:val="center"/>
              <w:rPr>
                <w:rFonts w:hint="eastAsia" w:ascii="仿宋" w:hAnsi="仿宋" w:eastAsia="仿宋" w:cs="仿宋"/>
                <w:sz w:val="18"/>
                <w:szCs w:val="18"/>
              </w:rPr>
            </w:pPr>
          </w:p>
        </w:tc>
        <w:tc>
          <w:tcPr>
            <w:tcW w:w="1098" w:type="dxa"/>
          </w:tcPr>
          <w:p w14:paraId="463031F6">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w:t>
            </w:r>
          </w:p>
        </w:tc>
        <w:tc>
          <w:tcPr>
            <w:tcW w:w="1098" w:type="dxa"/>
          </w:tcPr>
          <w:p w14:paraId="41F97226">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2</w:t>
            </w:r>
          </w:p>
        </w:tc>
        <w:tc>
          <w:tcPr>
            <w:tcW w:w="1099" w:type="dxa"/>
          </w:tcPr>
          <w:p w14:paraId="199CF619">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3</w:t>
            </w:r>
          </w:p>
        </w:tc>
        <w:tc>
          <w:tcPr>
            <w:tcW w:w="1098" w:type="dxa"/>
          </w:tcPr>
          <w:p w14:paraId="3599CBD7">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4</w:t>
            </w:r>
          </w:p>
        </w:tc>
        <w:tc>
          <w:tcPr>
            <w:tcW w:w="1098" w:type="dxa"/>
          </w:tcPr>
          <w:p w14:paraId="682DB7C4">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5</w:t>
            </w:r>
          </w:p>
        </w:tc>
        <w:tc>
          <w:tcPr>
            <w:tcW w:w="1099" w:type="dxa"/>
          </w:tcPr>
          <w:p w14:paraId="3CEFD10A">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6</w:t>
            </w:r>
          </w:p>
        </w:tc>
        <w:tc>
          <w:tcPr>
            <w:tcW w:w="1632" w:type="dxa"/>
            <w:vMerge w:val="continue"/>
            <w:vAlign w:val="center"/>
          </w:tcPr>
          <w:p w14:paraId="5733499E">
            <w:pPr>
              <w:ind w:firstLine="0" w:firstLineChars="0"/>
              <w:jc w:val="center"/>
              <w:rPr>
                <w:rFonts w:hint="eastAsia" w:ascii="仿宋" w:hAnsi="仿宋" w:eastAsia="仿宋" w:cs="仿宋"/>
                <w:sz w:val="18"/>
                <w:szCs w:val="18"/>
              </w:rPr>
            </w:pPr>
          </w:p>
        </w:tc>
      </w:tr>
      <w:tr w14:paraId="26334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vAlign w:val="center"/>
          </w:tcPr>
          <w:p w14:paraId="30F29649">
            <w:pPr>
              <w:ind w:firstLine="0" w:firstLineChars="0"/>
              <w:jc w:val="center"/>
              <w:rPr>
                <w:rFonts w:hint="eastAsia" w:ascii="仿宋" w:hAnsi="仿宋" w:eastAsia="仿宋" w:cs="仿宋"/>
                <w:sz w:val="18"/>
                <w:szCs w:val="18"/>
              </w:rPr>
            </w:pPr>
          </w:p>
        </w:tc>
        <w:tc>
          <w:tcPr>
            <w:tcW w:w="1211" w:type="dxa"/>
            <w:vMerge w:val="continue"/>
            <w:vAlign w:val="center"/>
          </w:tcPr>
          <w:p w14:paraId="657C4C7A">
            <w:pPr>
              <w:ind w:firstLine="0" w:firstLineChars="0"/>
              <w:jc w:val="center"/>
              <w:rPr>
                <w:rFonts w:hint="eastAsia" w:ascii="仿宋" w:hAnsi="仿宋" w:eastAsia="仿宋" w:cs="仿宋"/>
                <w:sz w:val="18"/>
                <w:szCs w:val="18"/>
              </w:rPr>
            </w:pPr>
          </w:p>
        </w:tc>
        <w:tc>
          <w:tcPr>
            <w:tcW w:w="1098" w:type="dxa"/>
          </w:tcPr>
          <w:p w14:paraId="6C8EDBFA">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FP0747ELZY22082901</w:t>
            </w:r>
          </w:p>
        </w:tc>
        <w:tc>
          <w:tcPr>
            <w:tcW w:w="1098" w:type="dxa"/>
          </w:tcPr>
          <w:p w14:paraId="3F9A0918">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FP0747ELZY22090101</w:t>
            </w:r>
          </w:p>
        </w:tc>
        <w:tc>
          <w:tcPr>
            <w:tcW w:w="1099" w:type="dxa"/>
          </w:tcPr>
          <w:p w14:paraId="135BC08D">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FP0747ELZY23033101</w:t>
            </w:r>
          </w:p>
        </w:tc>
        <w:tc>
          <w:tcPr>
            <w:tcW w:w="1098" w:type="dxa"/>
          </w:tcPr>
          <w:p w14:paraId="41F6AB1A">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JY1004-2.5-2022112201</w:t>
            </w:r>
          </w:p>
        </w:tc>
        <w:tc>
          <w:tcPr>
            <w:tcW w:w="1098" w:type="dxa"/>
          </w:tcPr>
          <w:p w14:paraId="2F0EE208">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JY1004-2.5-2022122901</w:t>
            </w:r>
          </w:p>
        </w:tc>
        <w:tc>
          <w:tcPr>
            <w:tcW w:w="1099" w:type="dxa"/>
          </w:tcPr>
          <w:p w14:paraId="690221B9">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JY1004-2.5-2022120101</w:t>
            </w:r>
          </w:p>
        </w:tc>
        <w:tc>
          <w:tcPr>
            <w:tcW w:w="1632" w:type="dxa"/>
            <w:vMerge w:val="continue"/>
            <w:vAlign w:val="center"/>
          </w:tcPr>
          <w:p w14:paraId="11D4A7BA">
            <w:pPr>
              <w:ind w:firstLine="0" w:firstLineChars="0"/>
              <w:jc w:val="center"/>
              <w:rPr>
                <w:rFonts w:hint="eastAsia" w:ascii="仿宋" w:hAnsi="仿宋" w:eastAsia="仿宋" w:cs="仿宋"/>
                <w:sz w:val="18"/>
                <w:szCs w:val="18"/>
              </w:rPr>
            </w:pPr>
          </w:p>
        </w:tc>
      </w:tr>
      <w:tr w14:paraId="262D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17F137BF">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外观</w:t>
            </w:r>
          </w:p>
        </w:tc>
        <w:tc>
          <w:tcPr>
            <w:tcW w:w="1211" w:type="dxa"/>
            <w:vAlign w:val="center"/>
          </w:tcPr>
          <w:p w14:paraId="1BF46BE9">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室温</w:t>
            </w:r>
          </w:p>
        </w:tc>
        <w:tc>
          <w:tcPr>
            <w:tcW w:w="1098" w:type="dxa"/>
            <w:vAlign w:val="center"/>
          </w:tcPr>
          <w:p w14:paraId="0ADC951A">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8" w:type="dxa"/>
            <w:vAlign w:val="center"/>
          </w:tcPr>
          <w:p w14:paraId="4B50B68D">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9" w:type="dxa"/>
            <w:vAlign w:val="center"/>
          </w:tcPr>
          <w:p w14:paraId="72780A39">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8" w:type="dxa"/>
            <w:vAlign w:val="center"/>
          </w:tcPr>
          <w:p w14:paraId="022D2618">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8" w:type="dxa"/>
            <w:vAlign w:val="center"/>
          </w:tcPr>
          <w:p w14:paraId="191B2416">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9" w:type="dxa"/>
            <w:vAlign w:val="center"/>
          </w:tcPr>
          <w:p w14:paraId="414430C4">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632" w:type="dxa"/>
          </w:tcPr>
          <w:p w14:paraId="700FB8B3">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黄色至深棕色透明液体</w:t>
            </w:r>
          </w:p>
        </w:tc>
      </w:tr>
      <w:tr w14:paraId="4B0BF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3F9ED8BC">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气味</w:t>
            </w:r>
          </w:p>
        </w:tc>
        <w:tc>
          <w:tcPr>
            <w:tcW w:w="1211" w:type="dxa"/>
            <w:vAlign w:val="center"/>
          </w:tcPr>
          <w:p w14:paraId="4BED7B10">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室温</w:t>
            </w:r>
          </w:p>
        </w:tc>
        <w:tc>
          <w:tcPr>
            <w:tcW w:w="1098" w:type="dxa"/>
            <w:vAlign w:val="center"/>
          </w:tcPr>
          <w:p w14:paraId="7096FBB0">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8" w:type="dxa"/>
            <w:vAlign w:val="center"/>
          </w:tcPr>
          <w:p w14:paraId="6B4277D6">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9" w:type="dxa"/>
            <w:vAlign w:val="center"/>
          </w:tcPr>
          <w:p w14:paraId="6FFC31F8">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8" w:type="dxa"/>
            <w:vAlign w:val="center"/>
          </w:tcPr>
          <w:p w14:paraId="3915E038">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8" w:type="dxa"/>
            <w:vAlign w:val="center"/>
          </w:tcPr>
          <w:p w14:paraId="17479831">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099" w:type="dxa"/>
            <w:vAlign w:val="center"/>
          </w:tcPr>
          <w:p w14:paraId="30A64D18">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符合标样</w:t>
            </w:r>
          </w:p>
        </w:tc>
        <w:tc>
          <w:tcPr>
            <w:tcW w:w="1632" w:type="dxa"/>
          </w:tcPr>
          <w:p w14:paraId="76E85B85">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特征性气味</w:t>
            </w:r>
          </w:p>
        </w:tc>
      </w:tr>
      <w:tr w14:paraId="0A8B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258E0E8D">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pH值</w:t>
            </w:r>
          </w:p>
        </w:tc>
        <w:tc>
          <w:tcPr>
            <w:tcW w:w="1211" w:type="dxa"/>
            <w:vAlign w:val="center"/>
          </w:tcPr>
          <w:p w14:paraId="55D10200">
            <w:pPr>
              <w:ind w:firstLine="0" w:firstLineChars="0"/>
              <w:jc w:val="center"/>
              <w:rPr>
                <w:rFonts w:hint="eastAsia" w:ascii="仿宋" w:hAnsi="仿宋" w:eastAsia="仿宋" w:cs="仿宋"/>
                <w:sz w:val="18"/>
                <w:szCs w:val="18"/>
              </w:rPr>
            </w:pPr>
          </w:p>
        </w:tc>
        <w:tc>
          <w:tcPr>
            <w:tcW w:w="1098" w:type="dxa"/>
            <w:vAlign w:val="center"/>
          </w:tcPr>
          <w:p w14:paraId="4E469E7A">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4.37</w:t>
            </w:r>
          </w:p>
        </w:tc>
        <w:tc>
          <w:tcPr>
            <w:tcW w:w="1098" w:type="dxa"/>
            <w:vAlign w:val="center"/>
          </w:tcPr>
          <w:p w14:paraId="063A9E6B">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4.38</w:t>
            </w:r>
          </w:p>
        </w:tc>
        <w:tc>
          <w:tcPr>
            <w:tcW w:w="1099" w:type="dxa"/>
            <w:vAlign w:val="center"/>
          </w:tcPr>
          <w:p w14:paraId="11DC1829">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4.48</w:t>
            </w:r>
          </w:p>
        </w:tc>
        <w:tc>
          <w:tcPr>
            <w:tcW w:w="1098" w:type="dxa"/>
            <w:vAlign w:val="center"/>
          </w:tcPr>
          <w:p w14:paraId="43979398">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5.25</w:t>
            </w:r>
          </w:p>
        </w:tc>
        <w:tc>
          <w:tcPr>
            <w:tcW w:w="1098" w:type="dxa"/>
            <w:vAlign w:val="center"/>
          </w:tcPr>
          <w:p w14:paraId="2905F8A0">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5.17</w:t>
            </w:r>
          </w:p>
        </w:tc>
        <w:tc>
          <w:tcPr>
            <w:tcW w:w="1099" w:type="dxa"/>
            <w:vAlign w:val="center"/>
          </w:tcPr>
          <w:p w14:paraId="651FD3C3">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5.15</w:t>
            </w:r>
          </w:p>
        </w:tc>
        <w:tc>
          <w:tcPr>
            <w:tcW w:w="1632" w:type="dxa"/>
          </w:tcPr>
          <w:p w14:paraId="110BBE2E">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3.5-6.8</w:t>
            </w:r>
          </w:p>
        </w:tc>
      </w:tr>
      <w:tr w14:paraId="4C43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27719DEF">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密度</w:t>
            </w:r>
          </w:p>
        </w:tc>
        <w:tc>
          <w:tcPr>
            <w:tcW w:w="1211" w:type="dxa"/>
            <w:vAlign w:val="center"/>
          </w:tcPr>
          <w:p w14:paraId="4CC4982A">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g/cm</w:t>
            </w:r>
            <w:r>
              <w:rPr>
                <w:rFonts w:hint="eastAsia" w:ascii="仿宋" w:hAnsi="仿宋" w:eastAsia="仿宋" w:cs="仿宋"/>
                <w:color w:val="000000"/>
                <w:sz w:val="18"/>
                <w:szCs w:val="18"/>
                <w:vertAlign w:val="superscript"/>
              </w:rPr>
              <w:t>3</w:t>
            </w:r>
          </w:p>
        </w:tc>
        <w:tc>
          <w:tcPr>
            <w:tcW w:w="1098" w:type="dxa"/>
            <w:vAlign w:val="center"/>
          </w:tcPr>
          <w:p w14:paraId="2D0E61E5">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1.1293</w:t>
            </w:r>
          </w:p>
        </w:tc>
        <w:tc>
          <w:tcPr>
            <w:tcW w:w="1098" w:type="dxa"/>
            <w:vAlign w:val="center"/>
          </w:tcPr>
          <w:p w14:paraId="1BCE517B">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1.1286</w:t>
            </w:r>
          </w:p>
        </w:tc>
        <w:tc>
          <w:tcPr>
            <w:tcW w:w="1099" w:type="dxa"/>
            <w:vAlign w:val="center"/>
          </w:tcPr>
          <w:p w14:paraId="55189381">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1.1296</w:t>
            </w:r>
          </w:p>
        </w:tc>
        <w:tc>
          <w:tcPr>
            <w:tcW w:w="1098" w:type="dxa"/>
            <w:vAlign w:val="center"/>
          </w:tcPr>
          <w:p w14:paraId="2ADFA211">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1.046</w:t>
            </w:r>
          </w:p>
        </w:tc>
        <w:tc>
          <w:tcPr>
            <w:tcW w:w="1098" w:type="dxa"/>
            <w:vAlign w:val="center"/>
          </w:tcPr>
          <w:p w14:paraId="605936B9">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1.045</w:t>
            </w:r>
          </w:p>
        </w:tc>
        <w:tc>
          <w:tcPr>
            <w:tcW w:w="1099" w:type="dxa"/>
            <w:vAlign w:val="center"/>
          </w:tcPr>
          <w:p w14:paraId="59953B29">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1.043</w:t>
            </w:r>
          </w:p>
        </w:tc>
        <w:tc>
          <w:tcPr>
            <w:tcW w:w="1632" w:type="dxa"/>
          </w:tcPr>
          <w:p w14:paraId="4D0B7992">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0.9510-1.1600</w:t>
            </w:r>
          </w:p>
        </w:tc>
      </w:tr>
      <w:tr w14:paraId="4C0A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5E8ADC35">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折光率</w:t>
            </w:r>
          </w:p>
        </w:tc>
        <w:tc>
          <w:tcPr>
            <w:tcW w:w="1211" w:type="dxa"/>
            <w:vAlign w:val="center"/>
          </w:tcPr>
          <w:p w14:paraId="102EC050">
            <w:pPr>
              <w:ind w:firstLine="0" w:firstLineChars="0"/>
              <w:jc w:val="center"/>
              <w:rPr>
                <w:rFonts w:hint="eastAsia" w:ascii="仿宋" w:hAnsi="仿宋" w:eastAsia="仿宋" w:cs="仿宋"/>
                <w:sz w:val="18"/>
                <w:szCs w:val="18"/>
              </w:rPr>
            </w:pPr>
          </w:p>
        </w:tc>
        <w:tc>
          <w:tcPr>
            <w:tcW w:w="1098" w:type="dxa"/>
            <w:vAlign w:val="center"/>
          </w:tcPr>
          <w:p w14:paraId="6C94757B">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1.4000</w:t>
            </w:r>
          </w:p>
        </w:tc>
        <w:tc>
          <w:tcPr>
            <w:tcW w:w="1098" w:type="dxa"/>
            <w:vAlign w:val="center"/>
          </w:tcPr>
          <w:p w14:paraId="166BE746">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1.3996</w:t>
            </w:r>
          </w:p>
        </w:tc>
        <w:tc>
          <w:tcPr>
            <w:tcW w:w="1099" w:type="dxa"/>
            <w:vAlign w:val="center"/>
          </w:tcPr>
          <w:p w14:paraId="44941802">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1.4000</w:t>
            </w:r>
          </w:p>
        </w:tc>
        <w:tc>
          <w:tcPr>
            <w:tcW w:w="1098" w:type="dxa"/>
            <w:vAlign w:val="center"/>
          </w:tcPr>
          <w:p w14:paraId="0069EBAF">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1.3975</w:t>
            </w:r>
          </w:p>
        </w:tc>
        <w:tc>
          <w:tcPr>
            <w:tcW w:w="1098" w:type="dxa"/>
            <w:vAlign w:val="center"/>
          </w:tcPr>
          <w:p w14:paraId="7A833BB6">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1.3990</w:t>
            </w:r>
          </w:p>
        </w:tc>
        <w:tc>
          <w:tcPr>
            <w:tcW w:w="1099" w:type="dxa"/>
            <w:vAlign w:val="center"/>
          </w:tcPr>
          <w:p w14:paraId="1796BC97">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1.3980</w:t>
            </w:r>
          </w:p>
        </w:tc>
        <w:tc>
          <w:tcPr>
            <w:tcW w:w="1632" w:type="dxa"/>
          </w:tcPr>
          <w:p w14:paraId="0CCDBE4E">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1.3500-1.4500</w:t>
            </w:r>
          </w:p>
        </w:tc>
      </w:tr>
      <w:tr w14:paraId="23A77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4916A4E1">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龙胆苦苷</w:t>
            </w:r>
          </w:p>
        </w:tc>
        <w:tc>
          <w:tcPr>
            <w:tcW w:w="1211" w:type="dxa"/>
            <w:vAlign w:val="center"/>
          </w:tcPr>
          <w:p w14:paraId="04C0165F">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mg/mL</w:t>
            </w:r>
          </w:p>
        </w:tc>
        <w:tc>
          <w:tcPr>
            <w:tcW w:w="1098" w:type="dxa"/>
            <w:vAlign w:val="center"/>
          </w:tcPr>
          <w:p w14:paraId="5826EAB1">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1.40</w:t>
            </w:r>
          </w:p>
        </w:tc>
        <w:tc>
          <w:tcPr>
            <w:tcW w:w="1098" w:type="dxa"/>
            <w:vAlign w:val="center"/>
          </w:tcPr>
          <w:p w14:paraId="68065A45">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1.33</w:t>
            </w:r>
          </w:p>
        </w:tc>
        <w:tc>
          <w:tcPr>
            <w:tcW w:w="1099" w:type="dxa"/>
            <w:vAlign w:val="center"/>
          </w:tcPr>
          <w:p w14:paraId="56C1FE54">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1.73</w:t>
            </w:r>
          </w:p>
        </w:tc>
        <w:tc>
          <w:tcPr>
            <w:tcW w:w="1098" w:type="dxa"/>
            <w:vAlign w:val="center"/>
          </w:tcPr>
          <w:p w14:paraId="6B46C09E">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1.24</w:t>
            </w:r>
          </w:p>
        </w:tc>
        <w:tc>
          <w:tcPr>
            <w:tcW w:w="1098" w:type="dxa"/>
            <w:vAlign w:val="center"/>
          </w:tcPr>
          <w:p w14:paraId="14586104">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1.26</w:t>
            </w:r>
          </w:p>
        </w:tc>
        <w:tc>
          <w:tcPr>
            <w:tcW w:w="1099" w:type="dxa"/>
            <w:vAlign w:val="center"/>
          </w:tcPr>
          <w:p w14:paraId="1D8E946C">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1.25</w:t>
            </w:r>
          </w:p>
        </w:tc>
        <w:tc>
          <w:tcPr>
            <w:tcW w:w="1632" w:type="dxa"/>
          </w:tcPr>
          <w:p w14:paraId="01E0AF08">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≥1.0</w:t>
            </w:r>
          </w:p>
        </w:tc>
      </w:tr>
      <w:tr w14:paraId="50ECA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6A9DB9A3">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菌落总数</w:t>
            </w:r>
          </w:p>
        </w:tc>
        <w:tc>
          <w:tcPr>
            <w:tcW w:w="1211" w:type="dxa"/>
            <w:vAlign w:val="center"/>
          </w:tcPr>
          <w:p w14:paraId="3FE78AAA">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CFU/mL</w:t>
            </w:r>
          </w:p>
        </w:tc>
        <w:tc>
          <w:tcPr>
            <w:tcW w:w="1098" w:type="dxa"/>
            <w:vAlign w:val="center"/>
          </w:tcPr>
          <w:p w14:paraId="30BF7D8A">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8" w:type="dxa"/>
            <w:vAlign w:val="center"/>
          </w:tcPr>
          <w:p w14:paraId="3D3FF28C">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9" w:type="dxa"/>
            <w:vAlign w:val="center"/>
          </w:tcPr>
          <w:p w14:paraId="5948AF69">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8" w:type="dxa"/>
            <w:vAlign w:val="center"/>
          </w:tcPr>
          <w:p w14:paraId="547E4515">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8" w:type="dxa"/>
            <w:vAlign w:val="center"/>
          </w:tcPr>
          <w:p w14:paraId="0B2D0CBA">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9" w:type="dxa"/>
            <w:vAlign w:val="center"/>
          </w:tcPr>
          <w:p w14:paraId="5A4DE3BB">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632" w:type="dxa"/>
            <w:vMerge w:val="restart"/>
            <w:vAlign w:val="center"/>
          </w:tcPr>
          <w:p w14:paraId="7926648E">
            <w:pPr>
              <w:ind w:firstLine="0" w:firstLineChars="0"/>
              <w:jc w:val="center"/>
              <w:rPr>
                <w:rFonts w:hint="eastAsia" w:ascii="仿宋" w:hAnsi="仿宋" w:eastAsia="仿宋" w:cs="仿宋"/>
                <w:sz w:val="18"/>
                <w:szCs w:val="18"/>
              </w:rPr>
            </w:pPr>
            <w:r>
              <w:rPr>
                <w:rFonts w:hint="eastAsia" w:ascii="仿宋" w:hAnsi="仿宋" w:eastAsia="仿宋" w:cs="仿宋"/>
                <w:sz w:val="18"/>
                <w:szCs w:val="18"/>
              </w:rPr>
              <w:t>符合《化妆品安全技术规范》2015版</w:t>
            </w:r>
          </w:p>
        </w:tc>
      </w:tr>
      <w:tr w14:paraId="3C4E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Align w:val="center"/>
          </w:tcPr>
          <w:p w14:paraId="2154F85E">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霉菌、酵母菌总数</w:t>
            </w:r>
          </w:p>
        </w:tc>
        <w:tc>
          <w:tcPr>
            <w:tcW w:w="1211" w:type="dxa"/>
            <w:vAlign w:val="center"/>
          </w:tcPr>
          <w:p w14:paraId="53C90284">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CFU/mL</w:t>
            </w:r>
          </w:p>
        </w:tc>
        <w:tc>
          <w:tcPr>
            <w:tcW w:w="1098" w:type="dxa"/>
            <w:vAlign w:val="center"/>
          </w:tcPr>
          <w:p w14:paraId="61727005">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8" w:type="dxa"/>
            <w:vAlign w:val="center"/>
          </w:tcPr>
          <w:p w14:paraId="7E40697F">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9" w:type="dxa"/>
            <w:vAlign w:val="center"/>
          </w:tcPr>
          <w:p w14:paraId="081C2CBE">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8" w:type="dxa"/>
            <w:vAlign w:val="center"/>
          </w:tcPr>
          <w:p w14:paraId="3BED3563">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8" w:type="dxa"/>
            <w:vAlign w:val="center"/>
          </w:tcPr>
          <w:p w14:paraId="1625F1EE">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099" w:type="dxa"/>
            <w:vAlign w:val="center"/>
          </w:tcPr>
          <w:p w14:paraId="48BEFE91">
            <w:pPr>
              <w:ind w:firstLine="0" w:firstLineChars="0"/>
              <w:jc w:val="center"/>
              <w:rPr>
                <w:rFonts w:hint="eastAsia" w:ascii="仿宋" w:hAnsi="仿宋" w:eastAsia="仿宋" w:cs="仿宋"/>
                <w:sz w:val="18"/>
                <w:szCs w:val="18"/>
              </w:rPr>
            </w:pPr>
            <w:r>
              <w:rPr>
                <w:rFonts w:hint="eastAsia" w:ascii="仿宋" w:hAnsi="仿宋" w:eastAsia="仿宋" w:cs="仿宋"/>
                <w:color w:val="000000"/>
                <w:sz w:val="18"/>
                <w:szCs w:val="18"/>
              </w:rPr>
              <w:t>符合</w:t>
            </w:r>
          </w:p>
        </w:tc>
        <w:tc>
          <w:tcPr>
            <w:tcW w:w="1632" w:type="dxa"/>
            <w:vMerge w:val="continue"/>
            <w:vAlign w:val="center"/>
          </w:tcPr>
          <w:p w14:paraId="6238E8F9">
            <w:pPr>
              <w:ind w:firstLine="0" w:firstLineChars="0"/>
              <w:jc w:val="center"/>
              <w:rPr>
                <w:rFonts w:hint="eastAsia" w:ascii="仿宋" w:hAnsi="仿宋" w:eastAsia="仿宋" w:cs="仿宋"/>
                <w:sz w:val="18"/>
                <w:szCs w:val="18"/>
              </w:rPr>
            </w:pPr>
          </w:p>
        </w:tc>
      </w:tr>
    </w:tbl>
    <w:p w14:paraId="1C516F27">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七、征求意见的采纳情况（附《征求意见汇总处理表》、重大意见分歧的处理结果和依据）</w:t>
      </w:r>
    </w:p>
    <w:p w14:paraId="7B21E862">
      <w:pPr>
        <w:pStyle w:val="2"/>
        <w:ind w:firstLine="480"/>
        <w:rPr>
          <w:lang w:val="en-US"/>
        </w:rPr>
      </w:pPr>
      <w:r>
        <w:rPr>
          <w:rFonts w:hint="eastAsia"/>
          <w:lang w:val="en-US"/>
        </w:rPr>
        <w:t>无</w:t>
      </w:r>
    </w:p>
    <w:p w14:paraId="5EDCE0CD">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八、标准实施日期和实施建议</w:t>
      </w:r>
    </w:p>
    <w:p w14:paraId="5AA8F336">
      <w:pPr>
        <w:pStyle w:val="2"/>
        <w:ind w:firstLine="480"/>
        <w:rPr>
          <w:lang w:val="en-US"/>
        </w:rPr>
      </w:pPr>
      <w:r>
        <w:rPr>
          <w:rFonts w:hint="eastAsia"/>
          <w:lang w:val="en-US"/>
        </w:rPr>
        <w:t>无</w:t>
      </w:r>
    </w:p>
    <w:p w14:paraId="1E87372F">
      <w:pPr>
        <w:pStyle w:val="3"/>
        <w:rPr>
          <w:rFonts w:hint="eastAsia" w:ascii="华文中宋" w:hAnsi="华文中宋" w:eastAsia="华文中宋" w:cs="华文中宋"/>
          <w:b w:val="0"/>
          <w:bCs w:val="0"/>
        </w:rPr>
      </w:pPr>
      <w:r>
        <w:rPr>
          <w:rFonts w:hint="eastAsia" w:ascii="华文中宋" w:hAnsi="华文中宋" w:eastAsia="华文中宋" w:cs="华文中宋"/>
          <w:b w:val="0"/>
          <w:bCs w:val="0"/>
        </w:rPr>
        <w:t>九、其他需要说明的事项（含涉及专利情况说明）</w:t>
      </w:r>
    </w:p>
    <w:p w14:paraId="445CD460">
      <w:pPr>
        <w:pStyle w:val="2"/>
        <w:ind w:firstLine="480"/>
        <w:rPr>
          <w:lang w:val="en-US"/>
        </w:rPr>
      </w:pPr>
      <w:r>
        <w:rPr>
          <w:rFonts w:hint="eastAsia"/>
          <w:lang w:val="en-US"/>
        </w:rPr>
        <w:t>专利说明：无</w:t>
      </w:r>
    </w:p>
    <w:p w14:paraId="384C3999">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43AE">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6455">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38B0">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20238">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4375">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0D17">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FA770"/>
    <w:multiLevelType w:val="singleLevel"/>
    <w:tmpl w:val="559FA7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s>
  <w:rsids>
    <w:rsidRoot w:val="00C85F87"/>
    <w:rsid w:val="000003AA"/>
    <w:rsid w:val="00022BEA"/>
    <w:rsid w:val="00027C1E"/>
    <w:rsid w:val="00034556"/>
    <w:rsid w:val="00036723"/>
    <w:rsid w:val="00051320"/>
    <w:rsid w:val="00066D24"/>
    <w:rsid w:val="0007293B"/>
    <w:rsid w:val="00091F01"/>
    <w:rsid w:val="00092FBF"/>
    <w:rsid w:val="000A21A3"/>
    <w:rsid w:val="000A3157"/>
    <w:rsid w:val="000A39ED"/>
    <w:rsid w:val="000A7015"/>
    <w:rsid w:val="000A7890"/>
    <w:rsid w:val="000D2B90"/>
    <w:rsid w:val="000F473E"/>
    <w:rsid w:val="0010705C"/>
    <w:rsid w:val="00113309"/>
    <w:rsid w:val="0011481E"/>
    <w:rsid w:val="00114E75"/>
    <w:rsid w:val="001152B3"/>
    <w:rsid w:val="0012198B"/>
    <w:rsid w:val="00134FBB"/>
    <w:rsid w:val="00142EB6"/>
    <w:rsid w:val="0014686C"/>
    <w:rsid w:val="00146F64"/>
    <w:rsid w:val="00150333"/>
    <w:rsid w:val="001723F0"/>
    <w:rsid w:val="001755FF"/>
    <w:rsid w:val="00175775"/>
    <w:rsid w:val="001801BA"/>
    <w:rsid w:val="00185956"/>
    <w:rsid w:val="0018714A"/>
    <w:rsid w:val="00195E75"/>
    <w:rsid w:val="001B3DCD"/>
    <w:rsid w:val="001B58EB"/>
    <w:rsid w:val="001B7880"/>
    <w:rsid w:val="001D42A8"/>
    <w:rsid w:val="001D7CBF"/>
    <w:rsid w:val="001F156C"/>
    <w:rsid w:val="001F5095"/>
    <w:rsid w:val="00210229"/>
    <w:rsid w:val="00210543"/>
    <w:rsid w:val="0021544F"/>
    <w:rsid w:val="00220691"/>
    <w:rsid w:val="00226554"/>
    <w:rsid w:val="002303B7"/>
    <w:rsid w:val="00240716"/>
    <w:rsid w:val="00245D50"/>
    <w:rsid w:val="00247ABE"/>
    <w:rsid w:val="00261B45"/>
    <w:rsid w:val="00262443"/>
    <w:rsid w:val="0028764F"/>
    <w:rsid w:val="002904C7"/>
    <w:rsid w:val="002969A0"/>
    <w:rsid w:val="002969A8"/>
    <w:rsid w:val="002A3BA5"/>
    <w:rsid w:val="002A3DB0"/>
    <w:rsid w:val="002A6103"/>
    <w:rsid w:val="002A71EB"/>
    <w:rsid w:val="002C7F64"/>
    <w:rsid w:val="002D1456"/>
    <w:rsid w:val="002E5491"/>
    <w:rsid w:val="002E67EF"/>
    <w:rsid w:val="00303EDD"/>
    <w:rsid w:val="00310C1D"/>
    <w:rsid w:val="00320601"/>
    <w:rsid w:val="00323F8E"/>
    <w:rsid w:val="00335293"/>
    <w:rsid w:val="003425B0"/>
    <w:rsid w:val="003513DC"/>
    <w:rsid w:val="00357311"/>
    <w:rsid w:val="00363394"/>
    <w:rsid w:val="00376F5F"/>
    <w:rsid w:val="003A221B"/>
    <w:rsid w:val="003A3BAA"/>
    <w:rsid w:val="003B03AE"/>
    <w:rsid w:val="003C4C55"/>
    <w:rsid w:val="003D4852"/>
    <w:rsid w:val="003E7164"/>
    <w:rsid w:val="003F1D1F"/>
    <w:rsid w:val="003F32F6"/>
    <w:rsid w:val="003F6FCC"/>
    <w:rsid w:val="00420ACF"/>
    <w:rsid w:val="004317F3"/>
    <w:rsid w:val="00441C6F"/>
    <w:rsid w:val="00441FC0"/>
    <w:rsid w:val="00442814"/>
    <w:rsid w:val="00455092"/>
    <w:rsid w:val="00456BD0"/>
    <w:rsid w:val="00456FFC"/>
    <w:rsid w:val="00477FC6"/>
    <w:rsid w:val="00483104"/>
    <w:rsid w:val="004A5BE7"/>
    <w:rsid w:val="004A6A9F"/>
    <w:rsid w:val="004B0DEB"/>
    <w:rsid w:val="004C0106"/>
    <w:rsid w:val="004C0170"/>
    <w:rsid w:val="004D28FA"/>
    <w:rsid w:val="004D30ED"/>
    <w:rsid w:val="004D788F"/>
    <w:rsid w:val="004E34EF"/>
    <w:rsid w:val="004E5801"/>
    <w:rsid w:val="00501948"/>
    <w:rsid w:val="00511154"/>
    <w:rsid w:val="00515FA1"/>
    <w:rsid w:val="00517179"/>
    <w:rsid w:val="00522B17"/>
    <w:rsid w:val="00530BBE"/>
    <w:rsid w:val="00573216"/>
    <w:rsid w:val="00577D0C"/>
    <w:rsid w:val="00594CC1"/>
    <w:rsid w:val="005A1656"/>
    <w:rsid w:val="005A44A8"/>
    <w:rsid w:val="005C22AF"/>
    <w:rsid w:val="005C25B7"/>
    <w:rsid w:val="005C76DB"/>
    <w:rsid w:val="005E07F9"/>
    <w:rsid w:val="005E3A9E"/>
    <w:rsid w:val="005E62E7"/>
    <w:rsid w:val="005E6F9C"/>
    <w:rsid w:val="00600273"/>
    <w:rsid w:val="00601F39"/>
    <w:rsid w:val="0060749E"/>
    <w:rsid w:val="006254A5"/>
    <w:rsid w:val="00650E2B"/>
    <w:rsid w:val="00651D2D"/>
    <w:rsid w:val="00660E50"/>
    <w:rsid w:val="006619C7"/>
    <w:rsid w:val="0066362F"/>
    <w:rsid w:val="00664AD7"/>
    <w:rsid w:val="00691B62"/>
    <w:rsid w:val="00692A32"/>
    <w:rsid w:val="006A0BEB"/>
    <w:rsid w:val="006C058F"/>
    <w:rsid w:val="006E3AF2"/>
    <w:rsid w:val="006E75A1"/>
    <w:rsid w:val="00705ED0"/>
    <w:rsid w:val="0071009D"/>
    <w:rsid w:val="00713EBF"/>
    <w:rsid w:val="0071459E"/>
    <w:rsid w:val="0071612A"/>
    <w:rsid w:val="0071687E"/>
    <w:rsid w:val="00720179"/>
    <w:rsid w:val="0074168E"/>
    <w:rsid w:val="00742C3A"/>
    <w:rsid w:val="0075285F"/>
    <w:rsid w:val="007531C0"/>
    <w:rsid w:val="00776D13"/>
    <w:rsid w:val="007A25FB"/>
    <w:rsid w:val="007B0A7C"/>
    <w:rsid w:val="007B5E29"/>
    <w:rsid w:val="007C64E7"/>
    <w:rsid w:val="007C7AC5"/>
    <w:rsid w:val="007D3894"/>
    <w:rsid w:val="007D4F40"/>
    <w:rsid w:val="007D5BA7"/>
    <w:rsid w:val="007E15CD"/>
    <w:rsid w:val="007E6506"/>
    <w:rsid w:val="007F2A74"/>
    <w:rsid w:val="00813747"/>
    <w:rsid w:val="00820534"/>
    <w:rsid w:val="00825A59"/>
    <w:rsid w:val="008343C6"/>
    <w:rsid w:val="008423AB"/>
    <w:rsid w:val="00853110"/>
    <w:rsid w:val="008615E0"/>
    <w:rsid w:val="008662F1"/>
    <w:rsid w:val="00876709"/>
    <w:rsid w:val="00883BAE"/>
    <w:rsid w:val="00883FC1"/>
    <w:rsid w:val="008951BE"/>
    <w:rsid w:val="0089572C"/>
    <w:rsid w:val="00895EB2"/>
    <w:rsid w:val="00897481"/>
    <w:rsid w:val="008A54D8"/>
    <w:rsid w:val="008D22E5"/>
    <w:rsid w:val="008E3D10"/>
    <w:rsid w:val="008F7529"/>
    <w:rsid w:val="00902B60"/>
    <w:rsid w:val="009037AA"/>
    <w:rsid w:val="0090461A"/>
    <w:rsid w:val="009108CF"/>
    <w:rsid w:val="009213CC"/>
    <w:rsid w:val="00927838"/>
    <w:rsid w:val="0093609D"/>
    <w:rsid w:val="009409A4"/>
    <w:rsid w:val="0095248A"/>
    <w:rsid w:val="009553F5"/>
    <w:rsid w:val="009609C4"/>
    <w:rsid w:val="009632A8"/>
    <w:rsid w:val="00966392"/>
    <w:rsid w:val="009903B1"/>
    <w:rsid w:val="0099098A"/>
    <w:rsid w:val="00995039"/>
    <w:rsid w:val="00995950"/>
    <w:rsid w:val="00A00A73"/>
    <w:rsid w:val="00A02573"/>
    <w:rsid w:val="00A05FAC"/>
    <w:rsid w:val="00A06BE4"/>
    <w:rsid w:val="00A11B6E"/>
    <w:rsid w:val="00A2278E"/>
    <w:rsid w:val="00A262C3"/>
    <w:rsid w:val="00A37749"/>
    <w:rsid w:val="00A50065"/>
    <w:rsid w:val="00A500B1"/>
    <w:rsid w:val="00A62A7F"/>
    <w:rsid w:val="00A7073F"/>
    <w:rsid w:val="00A76DB5"/>
    <w:rsid w:val="00A77C60"/>
    <w:rsid w:val="00A9094A"/>
    <w:rsid w:val="00A92368"/>
    <w:rsid w:val="00AB09BD"/>
    <w:rsid w:val="00AB1002"/>
    <w:rsid w:val="00AB52EF"/>
    <w:rsid w:val="00AC3F70"/>
    <w:rsid w:val="00AD5E3A"/>
    <w:rsid w:val="00AD663A"/>
    <w:rsid w:val="00B070BB"/>
    <w:rsid w:val="00B07889"/>
    <w:rsid w:val="00B20F31"/>
    <w:rsid w:val="00B2406D"/>
    <w:rsid w:val="00B248E5"/>
    <w:rsid w:val="00B30D4D"/>
    <w:rsid w:val="00B3647D"/>
    <w:rsid w:val="00B36FEB"/>
    <w:rsid w:val="00B424B8"/>
    <w:rsid w:val="00B42A95"/>
    <w:rsid w:val="00B52AE9"/>
    <w:rsid w:val="00B533E6"/>
    <w:rsid w:val="00B5556A"/>
    <w:rsid w:val="00BA54D3"/>
    <w:rsid w:val="00BB0A9B"/>
    <w:rsid w:val="00BB2722"/>
    <w:rsid w:val="00BB3A5D"/>
    <w:rsid w:val="00BB56C5"/>
    <w:rsid w:val="00BC6416"/>
    <w:rsid w:val="00BD4A59"/>
    <w:rsid w:val="00BE098F"/>
    <w:rsid w:val="00BE5735"/>
    <w:rsid w:val="00BE7E79"/>
    <w:rsid w:val="00BF0A2D"/>
    <w:rsid w:val="00BF7D9C"/>
    <w:rsid w:val="00C050CD"/>
    <w:rsid w:val="00C11A5F"/>
    <w:rsid w:val="00C11DB0"/>
    <w:rsid w:val="00C13643"/>
    <w:rsid w:val="00C16525"/>
    <w:rsid w:val="00C30A40"/>
    <w:rsid w:val="00C349BE"/>
    <w:rsid w:val="00C72E50"/>
    <w:rsid w:val="00C73FEA"/>
    <w:rsid w:val="00C84431"/>
    <w:rsid w:val="00C85F87"/>
    <w:rsid w:val="00C90883"/>
    <w:rsid w:val="00CA42E0"/>
    <w:rsid w:val="00CB1774"/>
    <w:rsid w:val="00CB1EBA"/>
    <w:rsid w:val="00CB29E1"/>
    <w:rsid w:val="00CC6D69"/>
    <w:rsid w:val="00CD69DF"/>
    <w:rsid w:val="00CE0497"/>
    <w:rsid w:val="00D15168"/>
    <w:rsid w:val="00D22112"/>
    <w:rsid w:val="00D227D8"/>
    <w:rsid w:val="00D32A66"/>
    <w:rsid w:val="00D401AD"/>
    <w:rsid w:val="00D43B13"/>
    <w:rsid w:val="00D50654"/>
    <w:rsid w:val="00D56F5F"/>
    <w:rsid w:val="00D70768"/>
    <w:rsid w:val="00D85CC0"/>
    <w:rsid w:val="00D876BB"/>
    <w:rsid w:val="00DA6570"/>
    <w:rsid w:val="00DC0EE3"/>
    <w:rsid w:val="00DC1210"/>
    <w:rsid w:val="00DC4DD0"/>
    <w:rsid w:val="00DD120D"/>
    <w:rsid w:val="00DF2323"/>
    <w:rsid w:val="00DF2A65"/>
    <w:rsid w:val="00E03BD2"/>
    <w:rsid w:val="00E0474A"/>
    <w:rsid w:val="00E1773E"/>
    <w:rsid w:val="00E2308A"/>
    <w:rsid w:val="00E26032"/>
    <w:rsid w:val="00E30D94"/>
    <w:rsid w:val="00E31DCE"/>
    <w:rsid w:val="00E40B23"/>
    <w:rsid w:val="00E4511B"/>
    <w:rsid w:val="00E6662F"/>
    <w:rsid w:val="00E81A51"/>
    <w:rsid w:val="00E82141"/>
    <w:rsid w:val="00E86054"/>
    <w:rsid w:val="00EA7DAA"/>
    <w:rsid w:val="00EC0211"/>
    <w:rsid w:val="00EC3C67"/>
    <w:rsid w:val="00EC48E5"/>
    <w:rsid w:val="00EC670F"/>
    <w:rsid w:val="00ED2242"/>
    <w:rsid w:val="00ED469A"/>
    <w:rsid w:val="00EF49A4"/>
    <w:rsid w:val="00F00474"/>
    <w:rsid w:val="00F022C4"/>
    <w:rsid w:val="00F04075"/>
    <w:rsid w:val="00F061A6"/>
    <w:rsid w:val="00F10D0C"/>
    <w:rsid w:val="00F34E55"/>
    <w:rsid w:val="00F3516F"/>
    <w:rsid w:val="00F403F9"/>
    <w:rsid w:val="00F408AF"/>
    <w:rsid w:val="00F4387C"/>
    <w:rsid w:val="00F503FC"/>
    <w:rsid w:val="00F527B9"/>
    <w:rsid w:val="00F62B62"/>
    <w:rsid w:val="00F644DD"/>
    <w:rsid w:val="00F779C3"/>
    <w:rsid w:val="00F81A41"/>
    <w:rsid w:val="00FA0238"/>
    <w:rsid w:val="00FA2653"/>
    <w:rsid w:val="00FA4A33"/>
    <w:rsid w:val="00FC0AC9"/>
    <w:rsid w:val="00FC265C"/>
    <w:rsid w:val="00FD73F3"/>
    <w:rsid w:val="00FF448C"/>
    <w:rsid w:val="0C303148"/>
    <w:rsid w:val="10E80036"/>
    <w:rsid w:val="3285508D"/>
    <w:rsid w:val="378507AE"/>
    <w:rsid w:val="3D0278B6"/>
    <w:rsid w:val="43E658C2"/>
    <w:rsid w:val="4EC15058"/>
    <w:rsid w:val="516E4DB1"/>
    <w:rsid w:val="52AB2231"/>
    <w:rsid w:val="56320606"/>
    <w:rsid w:val="57967AA9"/>
    <w:rsid w:val="715201EA"/>
    <w:rsid w:val="7A8C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5"/>
    <w:qFormat/>
    <w:uiPriority w:val="9"/>
    <w:pPr>
      <w:keepNext/>
      <w:keepLines/>
      <w:spacing w:before="120" w:after="120" w:line="240" w:lineRule="auto"/>
      <w:ind w:firstLine="0" w:firstLineChars="0"/>
      <w:jc w:val="left"/>
      <w:outlineLvl w:val="0"/>
    </w:pPr>
    <w:rPr>
      <w:rFonts w:eastAsia="黑体"/>
      <w:b/>
      <w:bCs/>
      <w:kern w:val="44"/>
    </w:rPr>
  </w:style>
  <w:style w:type="paragraph" w:styleId="4">
    <w:name w:val="heading 2"/>
    <w:basedOn w:val="1"/>
    <w:next w:val="1"/>
    <w:link w:val="26"/>
    <w:unhideWhenUsed/>
    <w:qFormat/>
    <w:uiPriority w:val="9"/>
    <w:pPr>
      <w:keepNext/>
      <w:keepLines/>
      <w:spacing w:before="120" w:after="120"/>
      <w:ind w:firstLine="0" w:firstLineChars="0"/>
      <w:outlineLvl w:val="1"/>
    </w:pPr>
    <w:rPr>
      <w:rFonts w:eastAsia="黑体" w:cstheme="majorBidi"/>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7"/>
    <w:autoRedefine/>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38"/>
    <w:autoRedefine/>
    <w:unhideWhenUsed/>
    <w:qFormat/>
    <w:uiPriority w:val="9"/>
    <w:pPr>
      <w:keepNext/>
      <w:keepLines/>
      <w:spacing w:before="240" w:after="64" w:line="320" w:lineRule="auto"/>
      <w:outlineLvl w:val="6"/>
    </w:pPr>
    <w:rPr>
      <w:b/>
      <w:bCs/>
    </w:rPr>
  </w:style>
  <w:style w:type="paragraph" w:styleId="10">
    <w:name w:val="heading 8"/>
    <w:basedOn w:val="1"/>
    <w:next w:val="1"/>
    <w:link w:val="49"/>
    <w:autoRedefine/>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50"/>
    <w:autoRedefine/>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styleId="12">
    <w:name w:val="annotation text"/>
    <w:basedOn w:val="1"/>
    <w:link w:val="29"/>
    <w:autoRedefine/>
    <w:semiHidden/>
    <w:unhideWhenUsed/>
    <w:qFormat/>
    <w:uiPriority w:val="99"/>
    <w:pPr>
      <w:jc w:val="left"/>
    </w:pPr>
  </w:style>
  <w:style w:type="paragraph" w:styleId="13">
    <w:name w:val="Balloon Text"/>
    <w:basedOn w:val="1"/>
    <w:link w:val="31"/>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36"/>
    <w:autoRedefine/>
    <w:qFormat/>
    <w:uiPriority w:val="10"/>
    <w:pPr>
      <w:spacing w:before="240" w:after="60"/>
      <w:jc w:val="center"/>
      <w:outlineLvl w:val="0"/>
    </w:pPr>
    <w:rPr>
      <w:rFonts w:asciiTheme="majorHAnsi" w:hAnsiTheme="majorHAnsi" w:cstheme="majorBidi"/>
      <w:b/>
      <w:bCs/>
      <w:szCs w:val="32"/>
    </w:rPr>
  </w:style>
  <w:style w:type="paragraph" w:styleId="17">
    <w:name w:val="annotation subject"/>
    <w:basedOn w:val="12"/>
    <w:next w:val="12"/>
    <w:link w:val="30"/>
    <w:autoRedefine/>
    <w:semiHidden/>
    <w:unhideWhenUsed/>
    <w:qFormat/>
    <w:uiPriority w:val="99"/>
    <w:rPr>
      <w:b/>
      <w:bCs/>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autoRedefine/>
    <w:qFormat/>
    <w:uiPriority w:val="22"/>
    <w:rPr>
      <w:b/>
      <w:bCs/>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0"/>
    <w:autoRedefine/>
    <w:semiHidden/>
    <w:unhideWhenUsed/>
    <w:qFormat/>
    <w:uiPriority w:val="99"/>
    <w:rPr>
      <w:sz w:val="21"/>
      <w:szCs w:val="21"/>
    </w:rPr>
  </w:style>
  <w:style w:type="character" w:customStyle="1" w:styleId="25">
    <w:name w:val="标题 1 字符"/>
    <w:basedOn w:val="20"/>
    <w:link w:val="3"/>
    <w:autoRedefine/>
    <w:qFormat/>
    <w:uiPriority w:val="9"/>
    <w:rPr>
      <w:rFonts w:eastAsia="黑体"/>
      <w:b/>
      <w:bCs/>
      <w:kern w:val="44"/>
      <w:sz w:val="24"/>
      <w:szCs w:val="24"/>
    </w:rPr>
  </w:style>
  <w:style w:type="character" w:customStyle="1" w:styleId="26">
    <w:name w:val="标题 2 字符"/>
    <w:basedOn w:val="20"/>
    <w:link w:val="4"/>
    <w:autoRedefine/>
    <w:qFormat/>
    <w:uiPriority w:val="9"/>
    <w:rPr>
      <w:rFonts w:ascii="Times New Roman" w:hAnsi="Times New Roman" w:eastAsia="黑体" w:cstheme="majorBidi"/>
      <w:sz w:val="24"/>
      <w:szCs w:val="24"/>
    </w:rPr>
  </w:style>
  <w:style w:type="character" w:customStyle="1" w:styleId="27">
    <w:name w:val="页眉 字符"/>
    <w:basedOn w:val="20"/>
    <w:link w:val="15"/>
    <w:autoRedefine/>
    <w:qFormat/>
    <w:uiPriority w:val="99"/>
    <w:rPr>
      <w:sz w:val="18"/>
      <w:szCs w:val="18"/>
    </w:rPr>
  </w:style>
  <w:style w:type="character" w:customStyle="1" w:styleId="28">
    <w:name w:val="页脚 字符"/>
    <w:basedOn w:val="20"/>
    <w:link w:val="14"/>
    <w:autoRedefine/>
    <w:qFormat/>
    <w:uiPriority w:val="99"/>
    <w:rPr>
      <w:sz w:val="18"/>
      <w:szCs w:val="18"/>
    </w:rPr>
  </w:style>
  <w:style w:type="character" w:customStyle="1" w:styleId="29">
    <w:name w:val="批注文字 字符"/>
    <w:basedOn w:val="20"/>
    <w:link w:val="12"/>
    <w:autoRedefine/>
    <w:semiHidden/>
    <w:qFormat/>
    <w:uiPriority w:val="99"/>
  </w:style>
  <w:style w:type="character" w:customStyle="1" w:styleId="30">
    <w:name w:val="批注主题 字符"/>
    <w:basedOn w:val="29"/>
    <w:link w:val="17"/>
    <w:autoRedefine/>
    <w:semiHidden/>
    <w:qFormat/>
    <w:uiPriority w:val="99"/>
    <w:rPr>
      <w:b/>
      <w:bCs/>
    </w:rPr>
  </w:style>
  <w:style w:type="character" w:customStyle="1" w:styleId="31">
    <w:name w:val="批注框文本 字符"/>
    <w:basedOn w:val="20"/>
    <w:link w:val="13"/>
    <w:autoRedefine/>
    <w:semiHidden/>
    <w:qFormat/>
    <w:uiPriority w:val="99"/>
    <w:rPr>
      <w:sz w:val="18"/>
      <w:szCs w:val="18"/>
    </w:rPr>
  </w:style>
  <w:style w:type="paragraph" w:styleId="3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标题 3 字符"/>
    <w:basedOn w:val="20"/>
    <w:link w:val="5"/>
    <w:autoRedefine/>
    <w:qFormat/>
    <w:uiPriority w:val="9"/>
    <w:rPr>
      <w:b/>
      <w:bCs/>
      <w:sz w:val="32"/>
      <w:szCs w:val="32"/>
    </w:rPr>
  </w:style>
  <w:style w:type="character" w:customStyle="1" w:styleId="34">
    <w:name w:val="标题 4 字符"/>
    <w:basedOn w:val="20"/>
    <w:link w:val="6"/>
    <w:autoRedefine/>
    <w:qFormat/>
    <w:uiPriority w:val="9"/>
    <w:rPr>
      <w:rFonts w:asciiTheme="majorHAnsi" w:hAnsiTheme="majorHAnsi" w:eastAsiaTheme="majorEastAsia" w:cstheme="majorBidi"/>
      <w:b/>
      <w:bCs/>
      <w:sz w:val="28"/>
      <w:szCs w:val="28"/>
    </w:rPr>
  </w:style>
  <w:style w:type="character" w:customStyle="1" w:styleId="35">
    <w:name w:val="标题 5 字符"/>
    <w:basedOn w:val="20"/>
    <w:link w:val="7"/>
    <w:autoRedefine/>
    <w:qFormat/>
    <w:uiPriority w:val="9"/>
    <w:rPr>
      <w:b/>
      <w:bCs/>
      <w:sz w:val="28"/>
      <w:szCs w:val="28"/>
    </w:rPr>
  </w:style>
  <w:style w:type="character" w:customStyle="1" w:styleId="36">
    <w:name w:val="标题 字符"/>
    <w:basedOn w:val="20"/>
    <w:link w:val="16"/>
    <w:autoRedefine/>
    <w:qFormat/>
    <w:uiPriority w:val="10"/>
    <w:rPr>
      <w:rFonts w:eastAsia="宋体" w:asciiTheme="majorHAnsi" w:hAnsiTheme="majorHAnsi" w:cstheme="majorBidi"/>
      <w:b/>
      <w:bCs/>
      <w:sz w:val="24"/>
      <w:szCs w:val="32"/>
    </w:rPr>
  </w:style>
  <w:style w:type="character" w:customStyle="1" w:styleId="37">
    <w:name w:val="标题 6 字符"/>
    <w:basedOn w:val="20"/>
    <w:link w:val="8"/>
    <w:autoRedefine/>
    <w:qFormat/>
    <w:uiPriority w:val="9"/>
    <w:rPr>
      <w:rFonts w:asciiTheme="majorHAnsi" w:hAnsiTheme="majorHAnsi" w:eastAsiaTheme="majorEastAsia" w:cstheme="majorBidi"/>
      <w:b/>
      <w:bCs/>
      <w:sz w:val="24"/>
      <w:szCs w:val="24"/>
    </w:rPr>
  </w:style>
  <w:style w:type="character" w:customStyle="1" w:styleId="38">
    <w:name w:val="标题 7 字符"/>
    <w:basedOn w:val="20"/>
    <w:link w:val="9"/>
    <w:autoRedefine/>
    <w:qFormat/>
    <w:uiPriority w:val="9"/>
    <w:rPr>
      <w:b/>
      <w:bCs/>
      <w:sz w:val="24"/>
      <w:szCs w:val="24"/>
    </w:rPr>
  </w:style>
  <w:style w:type="character" w:customStyle="1" w:styleId="39">
    <w:name w:val="明显强调1"/>
    <w:basedOn w:val="20"/>
    <w:autoRedefine/>
    <w:qFormat/>
    <w:uiPriority w:val="21"/>
    <w:rPr>
      <w:b/>
      <w:bCs/>
      <w:i/>
      <w:iCs/>
      <w:color w:val="4F81BD" w:themeColor="accent1"/>
      <w14:textFill>
        <w14:solidFill>
          <w14:schemeClr w14:val="accent1"/>
        </w14:solidFill>
      </w14:textFill>
    </w:rPr>
  </w:style>
  <w:style w:type="paragraph" w:styleId="40">
    <w:name w:val="Quote"/>
    <w:basedOn w:val="1"/>
    <w:next w:val="1"/>
    <w:link w:val="41"/>
    <w:autoRedefine/>
    <w:qFormat/>
    <w:uiPriority w:val="29"/>
    <w:rPr>
      <w:i/>
      <w:iCs/>
      <w:color w:val="000000" w:themeColor="text1"/>
      <w14:textFill>
        <w14:solidFill>
          <w14:schemeClr w14:val="tx1"/>
        </w14:solidFill>
      </w14:textFill>
    </w:rPr>
  </w:style>
  <w:style w:type="character" w:customStyle="1" w:styleId="41">
    <w:name w:val="引用 字符"/>
    <w:basedOn w:val="20"/>
    <w:link w:val="40"/>
    <w:autoRedefine/>
    <w:qFormat/>
    <w:uiPriority w:val="29"/>
    <w:rPr>
      <w:i/>
      <w:iCs/>
      <w:color w:val="000000" w:themeColor="text1"/>
      <w14:textFill>
        <w14:solidFill>
          <w14:schemeClr w14:val="tx1"/>
        </w14:solidFill>
      </w14:textFill>
    </w:rPr>
  </w:style>
  <w:style w:type="paragraph" w:styleId="42">
    <w:name w:val="Intense Quote"/>
    <w:basedOn w:val="1"/>
    <w:next w:val="1"/>
    <w:link w:val="43"/>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3">
    <w:name w:val="明显引用 字符"/>
    <w:basedOn w:val="20"/>
    <w:link w:val="42"/>
    <w:autoRedefine/>
    <w:qFormat/>
    <w:uiPriority w:val="30"/>
    <w:rPr>
      <w:b/>
      <w:bCs/>
      <w:i/>
      <w:iCs/>
      <w:color w:val="4F81BD" w:themeColor="accent1"/>
      <w14:textFill>
        <w14:solidFill>
          <w14:schemeClr w14:val="accent1"/>
        </w14:solidFill>
      </w14:textFill>
    </w:rPr>
  </w:style>
  <w:style w:type="character" w:customStyle="1" w:styleId="44">
    <w:name w:val="不明显参考1"/>
    <w:basedOn w:val="20"/>
    <w:autoRedefine/>
    <w:qFormat/>
    <w:uiPriority w:val="31"/>
    <w:rPr>
      <w:smallCaps/>
      <w:color w:val="C0504D" w:themeColor="accent2"/>
      <w:u w:val="single"/>
      <w14:textFill>
        <w14:solidFill>
          <w14:schemeClr w14:val="accent2"/>
        </w14:solidFill>
      </w14:textFill>
    </w:rPr>
  </w:style>
  <w:style w:type="character" w:customStyle="1" w:styleId="45">
    <w:name w:val="明显参考1"/>
    <w:basedOn w:val="20"/>
    <w:autoRedefine/>
    <w:qFormat/>
    <w:uiPriority w:val="32"/>
    <w:rPr>
      <w:b/>
      <w:bCs/>
      <w:smallCaps/>
      <w:color w:val="C0504D" w:themeColor="accent2"/>
      <w:spacing w:val="5"/>
      <w:u w:val="single"/>
      <w14:textFill>
        <w14:solidFill>
          <w14:schemeClr w14:val="accent2"/>
        </w14:solidFill>
      </w14:textFill>
    </w:rPr>
  </w:style>
  <w:style w:type="character" w:customStyle="1" w:styleId="46">
    <w:name w:val="不明显强调1"/>
    <w:basedOn w:val="20"/>
    <w:autoRedefine/>
    <w:qFormat/>
    <w:uiPriority w:val="19"/>
    <w:rPr>
      <w:i/>
      <w:iCs/>
      <w:color w:val="808080" w:themeColor="text1" w:themeTint="80"/>
      <w14:textFill>
        <w14:solidFill>
          <w14:schemeClr w14:val="tx1">
            <w14:lumMod w14:val="50000"/>
            <w14:lumOff w14:val="50000"/>
          </w14:schemeClr>
        </w14:solidFill>
      </w14:textFill>
    </w:rPr>
  </w:style>
  <w:style w:type="paragraph" w:styleId="47">
    <w:name w:val="List Paragraph"/>
    <w:basedOn w:val="1"/>
    <w:autoRedefine/>
    <w:qFormat/>
    <w:uiPriority w:val="34"/>
    <w:pPr>
      <w:ind w:firstLine="420"/>
    </w:pPr>
  </w:style>
  <w:style w:type="character" w:customStyle="1" w:styleId="48">
    <w:name w:val="书籍标题1"/>
    <w:basedOn w:val="20"/>
    <w:autoRedefine/>
    <w:qFormat/>
    <w:uiPriority w:val="33"/>
    <w:rPr>
      <w:b/>
      <w:bCs/>
      <w:smallCaps/>
      <w:spacing w:val="5"/>
    </w:rPr>
  </w:style>
  <w:style w:type="character" w:customStyle="1" w:styleId="49">
    <w:name w:val="标题 8 字符"/>
    <w:basedOn w:val="20"/>
    <w:link w:val="10"/>
    <w:autoRedefine/>
    <w:qFormat/>
    <w:uiPriority w:val="9"/>
    <w:rPr>
      <w:rFonts w:asciiTheme="majorHAnsi" w:hAnsiTheme="majorHAnsi" w:eastAsiaTheme="majorEastAsia" w:cstheme="majorBidi"/>
      <w:sz w:val="24"/>
      <w:szCs w:val="24"/>
    </w:rPr>
  </w:style>
  <w:style w:type="character" w:customStyle="1" w:styleId="50">
    <w:name w:val="标题 9 字符"/>
    <w:basedOn w:val="20"/>
    <w:link w:val="11"/>
    <w:autoRedefine/>
    <w:qFormat/>
    <w:uiPriority w:val="9"/>
    <w:rPr>
      <w:rFonts w:asciiTheme="majorHAnsi" w:hAnsiTheme="majorHAnsi" w:eastAsiaTheme="majorEastAsia" w:cstheme="majorBidi"/>
      <w:szCs w:val="21"/>
    </w:rPr>
  </w:style>
  <w:style w:type="paragraph" w:customStyle="1" w:styleId="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3201</Words>
  <Characters>3855</Characters>
  <Lines>29</Lines>
  <Paragraphs>8</Paragraphs>
  <TotalTime>3</TotalTime>
  <ScaleCrop>false</ScaleCrop>
  <LinksUpToDate>false</LinksUpToDate>
  <CharactersWithSpaces>3916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2020-06-16T08:29:00Z</dcterms:created>
  <dc:creator>技术中心-杨娜</dc:creator>
  <cp:lastModifiedBy>厥涂坑对僦</cp:lastModifiedBy>
  <dcterms:modified xsi:type="dcterms:W3CDTF">2024-11-26T02:09:30Z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7AFF8FD0861D45D8AB0848D63BA767D0_13</vt:lpwstr>
  </property>
</Properties>
</file>